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E5BFF"/>
          <w:spacing w:val="30"/>
          <w:sz w:val="16"/>
          <w:szCs w:val="16"/>
        </w:rPr>
        <w:t xml:space="preserve">VendorManager.nl template · AI-addendum</w:t>
      </w:r>
    </w:p>
    <w:p>
      <w:pPr>
        <w:spacing w:after="120"/>
      </w:pPr>
      <w:r>
        <w:rPr>
          <w:rFonts w:ascii="Arial" w:cs="Arial" w:eastAsia="Arial" w:hAnsi="Arial"/>
          <w:b/>
          <w:bCs/>
          <w:color w:val="0A0E23"/>
          <w:sz w:val="40"/>
          <w:szCs w:val="40"/>
        </w:rPr>
        <w:t xml:space="preserve">AI-addendum bij een softwarecontract</w:t>
      </w:r>
    </w:p>
    <w:p>
      <w:pPr>
        <w:spacing w:after="200" w:line="300"/>
      </w:pPr>
      <w:r>
        <w:rPr>
          <w:rFonts w:ascii="Arial" w:cs="Arial" w:eastAsia="Arial" w:hAnsi="Arial"/>
          <w:color w:val="5A6480"/>
          <w:sz w:val="22"/>
          <w:szCs w:val="22"/>
        </w:rPr>
        <w:t xml:space="preserve">Aanvullende voorwaarden voor leveranciers die AI-functionaliteit in hun dienst (gaan) aanbieden: transparantie, datagebruik, rolverdeling onder de AI Act, wijzigingsbeheer, menselijk toezicht en aansprakelijkheid.</w:t>
      </w:r>
    </w:p>
    <w:p>
      <w:pPr>
        <w:pBdr>
          <w:bottom w:val="single" w:color="E4E7F2" w:sz="6"/>
        </w:pBdr>
        <w:spacing w:after="1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373"/>
        <w:gridCol w:w="6265"/>
      </w:tblGrid>
      <w:tr>
        <w:trPr>
          <w:tblHeader/>
        </w:trPr>
        <w:tc>
          <w:tcPr>
            <w:tcW w:type="dxa" w:w="3373"/>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Onderdeel</w:t>
            </w:r>
          </w:p>
        </w:tc>
        <w:tc>
          <w:tcPr>
            <w:tcW w:type="dxa" w:w="6265"/>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Invullen</w:t>
            </w:r>
          </w:p>
        </w:tc>
      </w:tr>
      <w:tr>
        <w:trPr>
          <w:cantSplit/>
        </w:trPr>
        <w:tc>
          <w:tcPr>
            <w:tcW w:type="dxa" w:w="337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Leverancier</w:t>
            </w:r>
          </w:p>
        </w:tc>
        <w:tc>
          <w:tcPr>
            <w:tcW w:type="dxa" w:w="626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[Naam, KvK]</w:t>
            </w:r>
          </w:p>
        </w:tc>
      </w:tr>
      <w:tr>
        <w:trPr>
          <w:cantSplit/>
        </w:trPr>
        <w:tc>
          <w:tcPr>
            <w:tcW w:type="dxa" w:w="337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Klant</w:t>
            </w:r>
          </w:p>
        </w:tc>
        <w:tc>
          <w:tcPr>
            <w:tcW w:type="dxa" w:w="626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[Naam, KvK]</w:t>
            </w:r>
          </w:p>
        </w:tc>
      </w:tr>
      <w:tr>
        <w:trPr>
          <w:cantSplit/>
        </w:trPr>
        <w:tc>
          <w:tcPr>
            <w:tcW w:type="dxa" w:w="337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Hoofdovereenkomst</w:t>
            </w:r>
          </w:p>
        </w:tc>
        <w:tc>
          <w:tcPr>
            <w:tcW w:type="dxa" w:w="626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[Titel, datum]</w:t>
            </w:r>
          </w:p>
        </w:tc>
      </w:tr>
      <w:tr>
        <w:trPr>
          <w:cantSplit/>
        </w:trPr>
        <w:tc>
          <w:tcPr>
            <w:tcW w:type="dxa" w:w="337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AI-functionaliteit waarop dit addendum ziet</w:t>
            </w:r>
          </w:p>
        </w:tc>
        <w:tc>
          <w:tcPr>
            <w:tcW w:type="dxa" w:w="626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[bijv. AI-assistent, automatische classificatie, scoring, generatie van teksten/beelden, agents]</w:t>
            </w:r>
          </w:p>
        </w:tc>
      </w:tr>
      <w:tr>
        <w:trPr>
          <w:cantSplit/>
        </w:trPr>
        <w:tc>
          <w:tcPr>
            <w:tcW w:type="dxa" w:w="337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Ingangsdatum</w:t>
            </w:r>
          </w:p>
        </w:tc>
        <w:tc>
          <w:tcPr>
            <w:tcW w:type="dxa" w:w="626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[dd-mm-jjjj]</w:t>
            </w:r>
          </w:p>
        </w:tc>
      </w:tr>
    </w:tbl>
    <w:p>
      <w:pPr>
        <w:spacing w:after="120"/>
      </w:pPr>
    </w:p>
    <w:p>
      <w:pPr>
        <w:pBdr>
          <w:left w:val="single" w:color="2E5BFF" w:sz="12" w:space="8"/>
        </w:pBdr>
        <w:spacing w:after="160" w:line="280"/>
        <w:ind w:left="200"/>
      </w:pPr>
      <w:r>
        <w:rPr>
          <w:rFonts w:ascii="Arial" w:cs="Arial" w:eastAsia="Arial" w:hAnsi="Arial"/>
          <w:i/>
          <w:iCs/>
          <w:color w:val="5A6480"/>
          <w:sz w:val="18"/>
          <w:szCs w:val="18"/>
        </w:rPr>
        <w:t xml:space="preserve">Waarom een addendum: leveranciers bouwen sneller AI in hun software dan contracten kunnen bijhouden. De meeste contracten zwijgen over AI, waardoor de leverancier zelf bepaalt welke data waarvoor wordt gebruikt en welke verplichtingen onder de AI Act bij wie liggen. Dit addendum legt dat vast, zonder de inzet van AI te blokkeren.</w:t>
      </w:r>
    </w:p>
    <w:p>
      <w:pPr>
        <w:pStyle w:val="Heading1"/>
        <w:keepNext/>
        <w:spacing w:after="160" w:before="360"/>
      </w:pPr>
      <w:r>
        <w:rPr>
          <w:rFonts w:ascii="Arial" w:cs="Arial" w:eastAsia="Arial" w:hAnsi="Arial"/>
          <w:b/>
          <w:bCs/>
          <w:color w:val="0A0E23"/>
          <w:sz w:val="28"/>
          <w:szCs w:val="28"/>
        </w:rPr>
        <w:t xml:space="preserve">Artikel 1. Definities</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699"/>
        <w:gridCol w:w="6939"/>
      </w:tblGrid>
      <w:tr>
        <w:trPr>
          <w:tblHeader/>
        </w:trPr>
        <w:tc>
          <w:tcPr>
            <w:tcW w:type="dxa" w:w="2699"/>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Begrip</w:t>
            </w:r>
          </w:p>
        </w:tc>
        <w:tc>
          <w:tcPr>
            <w:tcW w:type="dxa" w:w="6939"/>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Betekenis</w:t>
            </w:r>
          </w:p>
        </w:tc>
      </w:tr>
      <w:tr>
        <w:trPr>
          <w:cantSplit/>
        </w:trPr>
        <w:tc>
          <w:tcPr>
            <w:tcW w:type="dxa" w:w="269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AI-systeem</w:t>
            </w:r>
          </w:p>
        </w:tc>
        <w:tc>
          <w:tcPr>
            <w:tcW w:type="dxa" w:w="693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Een AI-systeem als bedoeld in artikel 3 lid 1 van Verordening (EU) 2024/1689 (AI-verordening / AI Act), inclusief AI-modellen voor algemene doeleinden die in de Dienst zijn geïntegreerd.</w:t>
            </w:r>
          </w:p>
        </w:tc>
      </w:tr>
      <w:tr>
        <w:trPr>
          <w:cantSplit/>
        </w:trPr>
        <w:tc>
          <w:tcPr>
            <w:tcW w:type="dxa" w:w="2699"/>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AI-functionaliteit</w:t>
            </w:r>
          </w:p>
        </w:tc>
        <w:tc>
          <w:tcPr>
            <w:tcW w:type="dxa" w:w="6939"/>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Elke functie van de Dienst die geheel of gedeeltelijk door een AI-systeem wordt uitgevoerd, ongeacht of deze als zodanig is aangeduid.</w:t>
            </w:r>
          </w:p>
        </w:tc>
      </w:tr>
      <w:tr>
        <w:trPr>
          <w:cantSplit/>
        </w:trPr>
        <w:tc>
          <w:tcPr>
            <w:tcW w:type="dxa" w:w="269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Klantdata</w:t>
            </w:r>
          </w:p>
        </w:tc>
        <w:tc>
          <w:tcPr>
            <w:tcW w:type="dxa" w:w="693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Alle gegevens die Klant of haar gebruikers in de Dienst invoeren of die de Dienst namens Klant verwerkt of genereert, inclusief prompts, uploads, metadata en output.</w:t>
            </w:r>
          </w:p>
        </w:tc>
      </w:tr>
      <w:tr>
        <w:trPr>
          <w:cantSplit/>
        </w:trPr>
        <w:tc>
          <w:tcPr>
            <w:tcW w:type="dxa" w:w="2699"/>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Aanbieder / Gebruiksverantwoordelijke</w:t>
            </w:r>
          </w:p>
        </w:tc>
        <w:tc>
          <w:tcPr>
            <w:tcW w:type="dxa" w:w="6939"/>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De rollen als bedoeld in artikel 3 leden 3 en 4 van de AI Act.</w:t>
            </w:r>
          </w:p>
        </w:tc>
      </w:tr>
      <w:tr>
        <w:trPr>
          <w:cantSplit/>
        </w:trPr>
        <w:tc>
          <w:tcPr>
            <w:tcW w:type="dxa" w:w="269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Hoogrisico-toepassing</w:t>
            </w:r>
          </w:p>
        </w:tc>
        <w:tc>
          <w:tcPr>
            <w:tcW w:type="dxa" w:w="693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Een toepassing als bedoeld in artikel 6 en bijlage III van de AI Act (o.a. werving en selectie, personeelsbeoordeling, kredietwaardigheid, toegang tot essentiële diensten).</w:t>
            </w:r>
          </w:p>
        </w:tc>
      </w:tr>
    </w:tbl>
    <w:p>
      <w:pPr>
        <w:spacing w:after="120"/>
      </w:pPr>
    </w:p>
    <w:p>
      <w:pPr>
        <w:pStyle w:val="Heading1"/>
        <w:keepNext/>
        <w:spacing w:after="160" w:before="360"/>
      </w:pPr>
      <w:r>
        <w:rPr>
          <w:rFonts w:ascii="Arial" w:cs="Arial" w:eastAsia="Arial" w:hAnsi="Arial"/>
          <w:b/>
          <w:bCs/>
          <w:color w:val="0A0E23"/>
          <w:sz w:val="28"/>
          <w:szCs w:val="28"/>
        </w:rPr>
        <w:t xml:space="preserve">Artikel 2. Transparantie en inventaris</w:t>
      </w:r>
    </w:p>
    <w:p>
      <w:pPr>
        <w:spacing w:after="140" w:line="300"/>
      </w:pPr>
      <w:r>
        <w:rPr>
          <w:rFonts w:ascii="Arial" w:cs="Arial" w:eastAsia="Arial" w:hAnsi="Arial"/>
          <w:color w:val="0A0E23"/>
          <w:sz w:val="20"/>
          <w:szCs w:val="20"/>
        </w:rPr>
        <w:t xml:space="preserve">2.1 Leverancier verstrekt bij ondertekening en daarna </w:t>
      </w:r>
      <w:r>
        <w:rPr>
          <w:rFonts w:ascii="Arial" w:cs="Arial" w:eastAsia="Arial" w:hAnsi="Arial"/>
          <w:color w:val="1E45D8"/>
          <w:sz w:val="20"/>
          <w:szCs w:val="20"/>
          <w:shd w:fill="EAF0FF" w:color="auto" w:val="clear"/>
        </w:rPr>
        <w:t xml:space="preserve">[per kwartaal / bij elke wijziging]</w:t>
      </w:r>
      <w:r>
        <w:rPr>
          <w:rFonts w:ascii="Arial" w:cs="Arial" w:eastAsia="Arial" w:hAnsi="Arial"/>
          <w:color w:val="0A0E23"/>
          <w:sz w:val="20"/>
          <w:szCs w:val="20"/>
        </w:rPr>
        <w:t xml:space="preserve"> een actueel overzicht van alle AI-functionaliteit in de Dienst, met per functie: doel, gebruikte modellen (eigen of van derden, met naam en versie), leverancier van het model, verwerkingslocatie, of Klantdata wordt gebruikt en of de functie standaard aan of uit staat (bijlage 1).</w:t>
      </w:r>
    </w:p>
    <w:p>
      <w:pPr>
        <w:spacing w:after="140" w:line="300"/>
      </w:pPr>
      <w:r>
        <w:rPr>
          <w:rFonts w:ascii="Arial" w:cs="Arial" w:eastAsia="Arial" w:hAnsi="Arial"/>
          <w:color w:val="0A0E23"/>
          <w:sz w:val="20"/>
          <w:szCs w:val="20"/>
        </w:rPr>
        <w:t xml:space="preserve">2.2 Leverancier informeert Klant ten minste </w:t>
      </w:r>
      <w:r>
        <w:rPr>
          <w:rFonts w:ascii="Arial" w:cs="Arial" w:eastAsia="Arial" w:hAnsi="Arial"/>
          <w:b/>
          <w:bCs/>
          <w:color w:val="0A0E23"/>
          <w:sz w:val="20"/>
          <w:szCs w:val="20"/>
        </w:rPr>
        <w:t xml:space="preserve">[60] dagen</w:t>
      </w:r>
      <w:r>
        <w:rPr>
          <w:rFonts w:ascii="Arial" w:cs="Arial" w:eastAsia="Arial" w:hAnsi="Arial"/>
          <w:color w:val="0A0E23"/>
          <w:sz w:val="20"/>
          <w:szCs w:val="20"/>
        </w:rPr>
        <w:t xml:space="preserve"> vooraf schriftelijk over de introductie van nieuwe AI-functionaliteit, een wezenlijke wijziging van bestaande AI-functionaliteit of een wisseling van model of modelleverancier. Klant kan nieuwe AI-functionaliteit </w:t>
      </w:r>
      <w:r>
        <w:rPr>
          <w:rFonts w:ascii="Arial" w:cs="Arial" w:eastAsia="Arial" w:hAnsi="Arial"/>
          <w:color w:val="1E45D8"/>
          <w:sz w:val="20"/>
          <w:szCs w:val="20"/>
          <w:shd w:fill="EAF0FF" w:color="auto" w:val="clear"/>
        </w:rPr>
        <w:t xml:space="preserve">[per functie / per gebruikersgroep]</w:t>
      </w:r>
      <w:r>
        <w:rPr>
          <w:rFonts w:ascii="Arial" w:cs="Arial" w:eastAsia="Arial" w:hAnsi="Arial"/>
          <w:color w:val="0A0E23"/>
          <w:sz w:val="20"/>
          <w:szCs w:val="20"/>
        </w:rPr>
        <w:t xml:space="preserve"> uitschakelen zonder dat dit de overige Dienst of de prijs beïnvloedt.</w:t>
      </w:r>
    </w:p>
    <w:p>
      <w:pPr>
        <w:spacing w:after="140" w:line="300"/>
      </w:pPr>
      <w:r>
        <w:rPr>
          <w:rFonts w:ascii="Arial" w:cs="Arial" w:eastAsia="Arial" w:hAnsi="Arial"/>
          <w:color w:val="0A0E23"/>
          <w:sz w:val="20"/>
          <w:szCs w:val="20"/>
        </w:rPr>
        <w:t xml:space="preserve">2.3 AI-gegenereerde output wordt binnen de Dienst als zodanig herkenbaar gemaakt voor gebruikers, conform artikel 50 AI Act.</w:t>
      </w:r>
    </w:p>
    <w:p>
      <w:pPr>
        <w:pStyle w:val="Heading1"/>
        <w:keepNext/>
        <w:spacing w:after="160" w:before="360"/>
      </w:pPr>
      <w:r>
        <w:rPr>
          <w:rFonts w:ascii="Arial" w:cs="Arial" w:eastAsia="Arial" w:hAnsi="Arial"/>
          <w:b/>
          <w:bCs/>
          <w:color w:val="0A0E23"/>
          <w:sz w:val="28"/>
          <w:szCs w:val="28"/>
        </w:rPr>
        <w:t xml:space="preserve">Artikel 3. Gebruik van Klantdata</w:t>
      </w:r>
    </w:p>
    <w:p>
      <w:pPr>
        <w:spacing w:after="140" w:line="300"/>
      </w:pPr>
      <w:r>
        <w:rPr>
          <w:rFonts w:ascii="Arial" w:cs="Arial" w:eastAsia="Arial" w:hAnsi="Arial"/>
          <w:color w:val="0A0E23"/>
          <w:sz w:val="20"/>
          <w:szCs w:val="20"/>
        </w:rPr>
        <w:t xml:space="preserve">3.1 Leverancier gebruikt Klantdata uitsluitend om de Dienst aan Klant te leveren. Leverancier gebruikt Klantdata </w:t>
      </w:r>
      <w:r>
        <w:rPr>
          <w:rFonts w:ascii="Arial" w:cs="Arial" w:eastAsia="Arial" w:hAnsi="Arial"/>
          <w:b/>
          <w:bCs/>
          <w:color w:val="0A0E23"/>
          <w:sz w:val="20"/>
          <w:szCs w:val="20"/>
        </w:rPr>
        <w:t xml:space="preserve">niet</w:t>
      </w:r>
      <w:r>
        <w:rPr>
          <w:rFonts w:ascii="Arial" w:cs="Arial" w:eastAsia="Arial" w:hAnsi="Arial"/>
          <w:color w:val="0A0E23"/>
          <w:sz w:val="20"/>
          <w:szCs w:val="20"/>
        </w:rPr>
        <w:t xml:space="preserve"> voor het trainen, fine-tunen, valideren of verbeteren van AI-modellen, ook niet geanonimiseerd of geaggregeerd en ook niet door sub-verwerkers of modelleveranciers, tenzij Klant daarvoor vooraf schriftelijk en per geval toestemming geeft.</w:t>
      </w:r>
    </w:p>
    <w:p>
      <w:pPr>
        <w:spacing w:after="140" w:line="300"/>
      </w:pPr>
      <w:r>
        <w:rPr>
          <w:rFonts w:ascii="Arial" w:cs="Arial" w:eastAsia="Arial" w:hAnsi="Arial"/>
          <w:color w:val="0A0E23"/>
          <w:sz w:val="20"/>
          <w:szCs w:val="20"/>
        </w:rPr>
        <w:t xml:space="preserve">3.2 Prompts, uploads en output worden niet langer bewaard dan nodig voor de directe levering van de functie, en maximaal </w:t>
      </w:r>
      <w:r>
        <w:rPr>
          <w:rFonts w:ascii="Arial" w:cs="Arial" w:eastAsia="Arial" w:hAnsi="Arial"/>
          <w:color w:val="1E45D8"/>
          <w:sz w:val="20"/>
          <w:szCs w:val="20"/>
          <w:shd w:fill="EAF0FF" w:color="auto" w:val="clear"/>
        </w:rPr>
        <w:t xml:space="preserve">[30]</w:t>
      </w:r>
      <w:r>
        <w:rPr>
          <w:rFonts w:ascii="Arial" w:cs="Arial" w:eastAsia="Arial" w:hAnsi="Arial"/>
          <w:color w:val="0A0E23"/>
          <w:sz w:val="20"/>
          <w:szCs w:val="20"/>
        </w:rPr>
        <w:t xml:space="preserve"> dagen voor misbruikdetectie, tenzij Klant een langere bewaartermijn instelt. Leverancier legt vast welke instelling geldt.</w:t>
      </w:r>
    </w:p>
    <w:p>
      <w:pPr>
        <w:spacing w:after="140" w:line="300"/>
      </w:pPr>
      <w:r>
        <w:rPr>
          <w:rFonts w:ascii="Arial" w:cs="Arial" w:eastAsia="Arial" w:hAnsi="Arial"/>
          <w:color w:val="0A0E23"/>
          <w:sz w:val="20"/>
          <w:szCs w:val="20"/>
        </w:rPr>
        <w:t xml:space="preserve">3.3 Klantdata wordt verwerkt binnen </w:t>
      </w:r>
      <w:r>
        <w:rPr>
          <w:rFonts w:ascii="Arial" w:cs="Arial" w:eastAsia="Arial" w:hAnsi="Arial"/>
          <w:color w:val="1E45D8"/>
          <w:sz w:val="20"/>
          <w:szCs w:val="20"/>
          <w:shd w:fill="EAF0FF" w:color="auto" w:val="clear"/>
        </w:rPr>
        <w:t xml:space="preserve">[de EER]</w:t>
      </w:r>
      <w:r>
        <w:rPr>
          <w:rFonts w:ascii="Arial" w:cs="Arial" w:eastAsia="Arial" w:hAnsi="Arial"/>
          <w:color w:val="0A0E23"/>
          <w:sz w:val="20"/>
          <w:szCs w:val="20"/>
        </w:rPr>
        <w:t xml:space="preserve">. Doorgifte naar derde landen, ook via modelleveranciers, is alleen toegestaan met een geldig doorgiftemechanisme en na schriftelijke melding aan Klant. Leverancier houdt een actuele lijst van modelleveranciers bij als sub-verwerkers onder de verwerkersovereenkomst.</w:t>
      </w:r>
    </w:p>
    <w:p>
      <w:pPr>
        <w:spacing w:after="140" w:line="300"/>
      </w:pPr>
      <w:r>
        <w:rPr>
          <w:rFonts w:ascii="Arial" w:cs="Arial" w:eastAsia="Arial" w:hAnsi="Arial"/>
          <w:color w:val="0A0E23"/>
          <w:sz w:val="20"/>
          <w:szCs w:val="20"/>
        </w:rPr>
        <w:t xml:space="preserve">3.4 Leverancier garandeert dat AI-output geen Klantdata van andere klanten bevat en dat Klantdata niet beschikbaar komt voor andere klanten van Leverancier of van de modelleverancier.</w:t>
      </w:r>
    </w:p>
    <w:p>
      <w:pPr>
        <w:pBdr>
          <w:left w:val="single" w:color="2E5BFF" w:sz="12" w:space="8"/>
        </w:pBdr>
        <w:spacing w:after="160" w:line="280"/>
        <w:ind w:left="200"/>
      </w:pPr>
      <w:r>
        <w:rPr>
          <w:rFonts w:ascii="Arial" w:cs="Arial" w:eastAsia="Arial" w:hAnsi="Arial"/>
          <w:i/>
          <w:iCs/>
          <w:color w:val="5A6480"/>
          <w:sz w:val="18"/>
          <w:szCs w:val="18"/>
        </w:rPr>
        <w:t xml:space="preserve">Dit is de bepaling die de meeste leveranciers standaard anders hebben geregeld: "wij mogen uw data gebruiken om onze modellen te verbeteren". Vraag om een expliciete opt-out op contractniveau, niet alleen een schakelaar in de instellingen die bij een update kan verspringen.</w:t>
      </w:r>
    </w:p>
    <w:p>
      <w:pPr>
        <w:pStyle w:val="Heading1"/>
        <w:keepNext/>
        <w:spacing w:after="160" w:before="360"/>
      </w:pPr>
      <w:r>
        <w:rPr>
          <w:rFonts w:ascii="Arial" w:cs="Arial" w:eastAsia="Arial" w:hAnsi="Arial"/>
          <w:b/>
          <w:bCs/>
          <w:color w:val="0A0E23"/>
          <w:sz w:val="28"/>
          <w:szCs w:val="28"/>
        </w:rPr>
        <w:t xml:space="preserve">Artikel 4. Rollen en verplichtingen onder de AI Act</w:t>
      </w:r>
    </w:p>
    <w:p>
      <w:pPr>
        <w:spacing w:after="140" w:line="300"/>
      </w:pPr>
      <w:r>
        <w:rPr>
          <w:rFonts w:ascii="Arial" w:cs="Arial" w:eastAsia="Arial" w:hAnsi="Arial"/>
          <w:color w:val="0A0E23"/>
          <w:sz w:val="20"/>
          <w:szCs w:val="20"/>
        </w:rPr>
        <w:t xml:space="preserve">4.1 Partijen stellen vast dat Leverancier ten aanzien van de AI-functionaliteit de rol van </w:t>
      </w:r>
      <w:r>
        <w:rPr>
          <w:rFonts w:ascii="Arial" w:cs="Arial" w:eastAsia="Arial" w:hAnsi="Arial"/>
          <w:b/>
          <w:bCs/>
          <w:color w:val="0A0E23"/>
          <w:sz w:val="20"/>
          <w:szCs w:val="20"/>
        </w:rPr>
        <w:t xml:space="preserve">Aanbieder</w:t>
      </w:r>
      <w:r>
        <w:rPr>
          <w:rFonts w:ascii="Arial" w:cs="Arial" w:eastAsia="Arial" w:hAnsi="Arial"/>
          <w:color w:val="0A0E23"/>
          <w:sz w:val="20"/>
          <w:szCs w:val="20"/>
        </w:rPr>
        <w:t xml:space="preserve"> vervult en Klant de rol van </w:t>
      </w:r>
      <w:r>
        <w:rPr>
          <w:rFonts w:ascii="Arial" w:cs="Arial" w:eastAsia="Arial" w:hAnsi="Arial"/>
          <w:b/>
          <w:bCs/>
          <w:color w:val="0A0E23"/>
          <w:sz w:val="20"/>
          <w:szCs w:val="20"/>
        </w:rPr>
        <w:t xml:space="preserve">Gebruiksverantwoordelijke</w:t>
      </w:r>
      <w:r>
        <w:rPr>
          <w:rFonts w:ascii="Arial" w:cs="Arial" w:eastAsia="Arial" w:hAnsi="Arial"/>
          <w:color w:val="0A0E23"/>
          <w:sz w:val="20"/>
          <w:szCs w:val="20"/>
        </w:rPr>
        <w:t xml:space="preserve">, tenzij in bijlage 1 per functie anders is aangegeven. Leverancier draagt de verplichtingen van de Aanbieder, waaronder conformiteit, technische documentatie, risicobeheer, logging, transparantie en (waar van toepassing) CE-markering en registratie.</w:t>
      </w:r>
    </w:p>
    <w:p>
      <w:pPr>
        <w:spacing w:after="140" w:line="300"/>
      </w:pPr>
      <w:r>
        <w:rPr>
          <w:rFonts w:ascii="Arial" w:cs="Arial" w:eastAsia="Arial" w:hAnsi="Arial"/>
          <w:color w:val="0A0E23"/>
          <w:sz w:val="20"/>
          <w:szCs w:val="20"/>
        </w:rPr>
        <w:t xml:space="preserve">4.2 Leverancier geeft in bijlage 1 per functie aan of deze een Hoogrisico-toepassing is of daarvoor kan worden ingezet. Voor Hoogrisico-toepassingen levert Leverancier de gebruiksinstructies, de informatie over menselijk toezicht en de logging die Klant nodig heeft om aan artikel 26 AI Act te voldoen, en meldt Leverancier ernstige incidenten conform artikel 73.</w:t>
      </w:r>
    </w:p>
    <w:p>
      <w:pPr>
        <w:spacing w:after="140" w:line="300"/>
      </w:pPr>
      <w:r>
        <w:rPr>
          <w:rFonts w:ascii="Arial" w:cs="Arial" w:eastAsia="Arial" w:hAnsi="Arial"/>
          <w:color w:val="0A0E23"/>
          <w:sz w:val="20"/>
          <w:szCs w:val="20"/>
        </w:rPr>
        <w:t xml:space="preserve">4.3 Leverancier zet geen AI-functionaliteit in die onder de verboden praktijken van artikel 5 AI Act valt en wijzigt de Dienst niet zodanig dat Klant, bij normaal gebruik, in die categorie terechtkomt.</w:t>
      </w:r>
    </w:p>
    <w:p>
      <w:pPr>
        <w:spacing w:after="140" w:line="300"/>
      </w:pPr>
      <w:r>
        <w:rPr>
          <w:rFonts w:ascii="Arial" w:cs="Arial" w:eastAsia="Arial" w:hAnsi="Arial"/>
          <w:color w:val="0A0E23"/>
          <w:sz w:val="20"/>
          <w:szCs w:val="20"/>
        </w:rPr>
        <w:t xml:space="preserve">4.4 Leverancier informeert Klant onverwijld indien een toezichthouder of een modelleverancier maatregelen neemt die de beschikbaarheid, rechtmatigheid of werking van de AI-functionaliteit beïnvloeden.</w:t>
      </w:r>
    </w:p>
    <w:p>
      <w:pPr>
        <w:pStyle w:val="Heading1"/>
        <w:keepNext/>
        <w:spacing w:after="160" w:before="360"/>
      </w:pPr>
      <w:r>
        <w:rPr>
          <w:rFonts w:ascii="Arial" w:cs="Arial" w:eastAsia="Arial" w:hAnsi="Arial"/>
          <w:b/>
          <w:bCs/>
          <w:color w:val="0A0E23"/>
          <w:sz w:val="28"/>
          <w:szCs w:val="28"/>
        </w:rPr>
        <w:t xml:space="preserve">Artikel 5. Kwaliteit, menselijk toezicht en logging</w:t>
      </w:r>
    </w:p>
    <w:p>
      <w:pPr>
        <w:spacing w:after="140" w:line="300"/>
      </w:pPr>
      <w:r>
        <w:rPr>
          <w:rFonts w:ascii="Arial" w:cs="Arial" w:eastAsia="Arial" w:hAnsi="Arial"/>
          <w:color w:val="0A0E23"/>
          <w:sz w:val="20"/>
          <w:szCs w:val="20"/>
        </w:rPr>
        <w:t xml:space="preserve">5.1 Leverancier documenteert per AI-functie de bekende beperkingen, foutmarges en bias-risico's en stelt deze documentatie aan Klant beschikbaar. Wezenlijke wijzigingen in prestaties na een modelwissel worden gerapporteerd.</w:t>
      </w:r>
    </w:p>
    <w:p>
      <w:pPr>
        <w:spacing w:after="140" w:line="300"/>
      </w:pPr>
      <w:r>
        <w:rPr>
          <w:rFonts w:ascii="Arial" w:cs="Arial" w:eastAsia="Arial" w:hAnsi="Arial"/>
          <w:color w:val="0A0E23"/>
          <w:sz w:val="20"/>
          <w:szCs w:val="20"/>
        </w:rPr>
        <w:t xml:space="preserve">5.2 De Dienst biedt Klant de mogelijkheid om AI-beslissingen of -aanbevelingen door een mens te laten beoordelen, te corrigeren of te overrulen, en om AI-functionaliteit voor specifieke processen uit te schakelen.</w:t>
      </w:r>
    </w:p>
    <w:p>
      <w:pPr>
        <w:spacing w:after="140" w:line="300"/>
      </w:pPr>
      <w:r>
        <w:rPr>
          <w:rFonts w:ascii="Arial" w:cs="Arial" w:eastAsia="Arial" w:hAnsi="Arial"/>
          <w:color w:val="0A0E23"/>
          <w:sz w:val="20"/>
          <w:szCs w:val="20"/>
        </w:rPr>
        <w:t xml:space="preserve">5.3 Leverancier logt het gebruik van AI-functionaliteit (tijdstip, functie, model/versie, gebruiker, in- en output-referentie) gedurende ten minste </w:t>
      </w:r>
      <w:r>
        <w:rPr>
          <w:rFonts w:ascii="Arial" w:cs="Arial" w:eastAsia="Arial" w:hAnsi="Arial"/>
          <w:color w:val="1E45D8"/>
          <w:sz w:val="20"/>
          <w:szCs w:val="20"/>
          <w:shd w:fill="EAF0FF" w:color="auto" w:val="clear"/>
        </w:rPr>
        <w:t xml:space="preserve">[6 maanden / de termijn die de AI Act voorschrijft]</w:t>
      </w:r>
      <w:r>
        <w:rPr>
          <w:rFonts w:ascii="Arial" w:cs="Arial" w:eastAsia="Arial" w:hAnsi="Arial"/>
          <w:color w:val="0A0E23"/>
          <w:sz w:val="20"/>
          <w:szCs w:val="20"/>
        </w:rPr>
        <w:t xml:space="preserve"> en stelt de logs op verzoek binnen </w:t>
      </w:r>
      <w:r>
        <w:rPr>
          <w:rFonts w:ascii="Arial" w:cs="Arial" w:eastAsia="Arial" w:hAnsi="Arial"/>
          <w:color w:val="1E45D8"/>
          <w:sz w:val="20"/>
          <w:szCs w:val="20"/>
          <w:shd w:fill="EAF0FF" w:color="auto" w:val="clear"/>
        </w:rPr>
        <w:t xml:space="preserve">[5]</w:t>
      </w:r>
      <w:r>
        <w:rPr>
          <w:rFonts w:ascii="Arial" w:cs="Arial" w:eastAsia="Arial" w:hAnsi="Arial"/>
          <w:color w:val="0A0E23"/>
          <w:sz w:val="20"/>
          <w:szCs w:val="20"/>
        </w:rPr>
        <w:t xml:space="preserve"> werkdagen aan Klant beschikbaar in een gangbaar formaat.</w:t>
      </w:r>
    </w:p>
    <w:p>
      <w:pPr>
        <w:spacing w:after="140" w:line="300"/>
      </w:pPr>
      <w:r>
        <w:rPr>
          <w:rFonts w:ascii="Arial" w:cs="Arial" w:eastAsia="Arial" w:hAnsi="Arial"/>
          <w:color w:val="0A0E23"/>
          <w:sz w:val="20"/>
          <w:szCs w:val="20"/>
        </w:rPr>
        <w:t xml:space="preserve">5.4 Leverancier treft passende maatregelen tegen prompt-injectie, data-exfiltratie via AI-functionaliteit en ongeautoriseerde acties door AI-agents, en rapporteert daarover in het jaarlijkse security-bewijs (ISO 27001 / SOC 2 / ISO 42001).</w:t>
      </w:r>
    </w:p>
    <w:p>
      <w:pPr>
        <w:pStyle w:val="Heading1"/>
        <w:keepNext/>
        <w:spacing w:after="160" w:before="360"/>
      </w:pPr>
      <w:r>
        <w:rPr>
          <w:rFonts w:ascii="Arial" w:cs="Arial" w:eastAsia="Arial" w:hAnsi="Arial"/>
          <w:b/>
          <w:bCs/>
          <w:color w:val="0A0E23"/>
          <w:sz w:val="28"/>
          <w:szCs w:val="28"/>
        </w:rPr>
        <w:t xml:space="preserve">Artikel 6. Intellectueel eigendom en output</w:t>
      </w:r>
    </w:p>
    <w:p>
      <w:pPr>
        <w:spacing w:after="140" w:line="300"/>
      </w:pPr>
      <w:r>
        <w:rPr>
          <w:rFonts w:ascii="Arial" w:cs="Arial" w:eastAsia="Arial" w:hAnsi="Arial"/>
          <w:color w:val="0A0E23"/>
          <w:sz w:val="20"/>
          <w:szCs w:val="20"/>
        </w:rPr>
        <w:t xml:space="preserve">6.1 Alle rechten op Klantdata, inclusief prompts en AI-output die op basis van Klantdata is gegenereerd, berusten bij Klant, voor zover de wet dat toelaat. Leverancier verkrijgt geen licentie op Klantdata anders dan voor de levering van de Dienst.</w:t>
      </w:r>
    </w:p>
    <w:p>
      <w:pPr>
        <w:spacing w:after="140" w:line="300"/>
      </w:pPr>
      <w:r>
        <w:rPr>
          <w:rFonts w:ascii="Arial" w:cs="Arial" w:eastAsia="Arial" w:hAnsi="Arial"/>
          <w:color w:val="0A0E23"/>
          <w:sz w:val="20"/>
          <w:szCs w:val="20"/>
        </w:rPr>
        <w:t xml:space="preserve">6.2 Leverancier vrijwaart Klant tegen aanspraken van derden dat de AI-functionaliteit of de daarmee gegenereerde output, bij gebruik conform de gebruiksinstructies, inbreuk maakt op intellectuele eigendomsrechten, tot </w:t>
      </w:r>
      <w:r>
        <w:rPr>
          <w:rFonts w:ascii="Arial" w:cs="Arial" w:eastAsia="Arial" w:hAnsi="Arial"/>
          <w:color w:val="1E45D8"/>
          <w:sz w:val="20"/>
          <w:szCs w:val="20"/>
          <w:shd w:fill="EAF0FF" w:color="auto" w:val="clear"/>
        </w:rPr>
        <w:t xml:space="preserve">[het bedrag van de jaarlijkse vergoeding / een bedrag van € x]</w:t>
      </w:r>
      <w:r>
        <w:rPr>
          <w:rFonts w:ascii="Arial" w:cs="Arial" w:eastAsia="Arial" w:hAnsi="Arial"/>
          <w:color w:val="0A0E23"/>
          <w:sz w:val="20"/>
          <w:szCs w:val="20"/>
        </w:rPr>
        <w:t xml:space="preserve">.</w:t>
      </w:r>
    </w:p>
    <w:p>
      <w:pPr>
        <w:pStyle w:val="Heading1"/>
        <w:keepNext/>
        <w:spacing w:after="160" w:before="360"/>
      </w:pPr>
      <w:r>
        <w:rPr>
          <w:rFonts w:ascii="Arial" w:cs="Arial" w:eastAsia="Arial" w:hAnsi="Arial"/>
          <w:b/>
          <w:bCs/>
          <w:color w:val="0A0E23"/>
          <w:sz w:val="28"/>
          <w:szCs w:val="28"/>
        </w:rPr>
        <w:t xml:space="preserve">Artikel 7. Kosten</w:t>
      </w:r>
    </w:p>
    <w:p>
      <w:pPr>
        <w:spacing w:after="140" w:line="300"/>
      </w:pPr>
      <w:r>
        <w:rPr>
          <w:rFonts w:ascii="Arial" w:cs="Arial" w:eastAsia="Arial" w:hAnsi="Arial"/>
          <w:color w:val="0A0E23"/>
          <w:sz w:val="20"/>
          <w:szCs w:val="20"/>
        </w:rPr>
        <w:t xml:space="preserve">7.1 AI-functionaliteit die onderdeel is van de Dienst op de ingangsdatum, is inbegrepen in de overeengekomen vergoeding. Nieuwe AI-functionaliteit wordt niet automatisch aan de vergoeding toegevoegd; Leverancier doet daarvoor een schriftelijk aanbod dat Klant kan weigeren zonder gevolgen voor de overige Dienst.</w:t>
      </w:r>
    </w:p>
    <w:p>
      <w:pPr>
        <w:spacing w:after="140" w:line="300"/>
      </w:pPr>
      <w:r>
        <w:rPr>
          <w:rFonts w:ascii="Arial" w:cs="Arial" w:eastAsia="Arial" w:hAnsi="Arial"/>
          <w:color w:val="0A0E23"/>
          <w:sz w:val="20"/>
          <w:szCs w:val="20"/>
        </w:rPr>
        <w:t xml:space="preserve">7.2 Verbruiksgebaseerde AI-kosten (tokens, credits, calls) worden alleen in rekening gebracht als Klant deze vooraf schriftelijk heeft geactiveerd, met een door Klant in te stellen maandlimiet en een melding bij </w:t>
      </w:r>
      <w:r>
        <w:rPr>
          <w:rFonts w:ascii="Arial" w:cs="Arial" w:eastAsia="Arial" w:hAnsi="Arial"/>
          <w:color w:val="1E45D8"/>
          <w:sz w:val="20"/>
          <w:szCs w:val="20"/>
          <w:shd w:fill="EAF0FF" w:color="auto" w:val="clear"/>
        </w:rPr>
        <w:t xml:space="preserve">[80]</w:t>
      </w:r>
      <w:r>
        <w:rPr>
          <w:rFonts w:ascii="Arial" w:cs="Arial" w:eastAsia="Arial" w:hAnsi="Arial"/>
          <w:color w:val="0A0E23"/>
          <w:sz w:val="20"/>
          <w:szCs w:val="20"/>
        </w:rPr>
        <w:t xml:space="preserve">% van die limiet.</w:t>
      </w:r>
    </w:p>
    <w:p>
      <w:pPr>
        <w:pBdr>
          <w:left w:val="single" w:color="2E5BFF" w:sz="12" w:space="8"/>
        </w:pBdr>
        <w:spacing w:after="160" w:line="280"/>
        <w:ind w:left="200"/>
      </w:pPr>
      <w:r>
        <w:rPr>
          <w:rFonts w:ascii="Arial" w:cs="Arial" w:eastAsia="Arial" w:hAnsi="Arial"/>
          <w:i/>
          <w:iCs/>
          <w:color w:val="5A6480"/>
          <w:sz w:val="18"/>
          <w:szCs w:val="18"/>
        </w:rPr>
        <w:t xml:space="preserve">Volgens marktonderzoek kreeg 78% van de IT-verantwoordelijken het afgelopen jaar onverwachte kosten door verbruik of AI-functionaliteit. Een maandplafond dat de klant instelt, voorkomt dit vrijwel volledig.</w:t>
      </w:r>
    </w:p>
    <w:p>
      <w:pPr>
        <w:pStyle w:val="Heading1"/>
        <w:keepNext/>
        <w:spacing w:after="160" w:before="360"/>
      </w:pPr>
      <w:r>
        <w:rPr>
          <w:rFonts w:ascii="Arial" w:cs="Arial" w:eastAsia="Arial" w:hAnsi="Arial"/>
          <w:b/>
          <w:bCs/>
          <w:color w:val="0A0E23"/>
          <w:sz w:val="28"/>
          <w:szCs w:val="28"/>
        </w:rPr>
        <w:t xml:space="preserve">Artikel 8. Aansprakelijkheid, audit en beëindiging</w:t>
      </w:r>
    </w:p>
    <w:p>
      <w:pPr>
        <w:spacing w:after="140" w:line="300"/>
      </w:pPr>
      <w:r>
        <w:rPr>
          <w:rFonts w:ascii="Arial" w:cs="Arial" w:eastAsia="Arial" w:hAnsi="Arial"/>
          <w:color w:val="0A0E23"/>
          <w:sz w:val="20"/>
          <w:szCs w:val="20"/>
        </w:rPr>
        <w:t xml:space="preserve">8.1 De aansprakelijkheidsbeperkingen uit de hoofdovereenkomst gelden niet voor schade als gevolg van schending van artikel 3 (gebruik van Klantdata) en artikel 4.3 (verboden praktijken).</w:t>
      </w:r>
    </w:p>
    <w:p>
      <w:pPr>
        <w:spacing w:after="140" w:line="300"/>
      </w:pPr>
      <w:r>
        <w:rPr>
          <w:rFonts w:ascii="Arial" w:cs="Arial" w:eastAsia="Arial" w:hAnsi="Arial"/>
          <w:color w:val="0A0E23"/>
          <w:sz w:val="20"/>
          <w:szCs w:val="20"/>
        </w:rPr>
        <w:t xml:space="preserve">8.2 Klant mag </w:t>
      </w:r>
      <w:r>
        <w:rPr>
          <w:rFonts w:ascii="Arial" w:cs="Arial" w:eastAsia="Arial" w:hAnsi="Arial"/>
          <w:color w:val="1E45D8"/>
          <w:sz w:val="20"/>
          <w:szCs w:val="20"/>
          <w:shd w:fill="EAF0FF" w:color="auto" w:val="clear"/>
        </w:rPr>
        <w:t xml:space="preserve">[jaarlijks]</w:t>
      </w:r>
      <w:r>
        <w:rPr>
          <w:rFonts w:ascii="Arial" w:cs="Arial" w:eastAsia="Arial" w:hAnsi="Arial"/>
          <w:color w:val="0A0E23"/>
          <w:sz w:val="20"/>
          <w:szCs w:val="20"/>
        </w:rPr>
        <w:t xml:space="preserve"> de naleving van dit addendum (laten) toetsen op basis van documentatie, logs en, indien nodig, een audit onder de voorwaarden van de verwerkersovereenkomst.</w:t>
      </w:r>
    </w:p>
    <w:p>
      <w:pPr>
        <w:spacing w:after="140" w:line="300"/>
      </w:pPr>
      <w:r>
        <w:rPr>
          <w:rFonts w:ascii="Arial" w:cs="Arial" w:eastAsia="Arial" w:hAnsi="Arial"/>
          <w:color w:val="0A0E23"/>
          <w:sz w:val="20"/>
          <w:szCs w:val="20"/>
        </w:rPr>
        <w:t xml:space="preserve">8.3 Klant kan de hoofdovereenkomst geheel of gedeeltelijk opzeggen met een termijn van </w:t>
      </w:r>
      <w:r>
        <w:rPr>
          <w:rFonts w:ascii="Arial" w:cs="Arial" w:eastAsia="Arial" w:hAnsi="Arial"/>
          <w:color w:val="1E45D8"/>
          <w:sz w:val="20"/>
          <w:szCs w:val="20"/>
          <w:shd w:fill="EAF0FF" w:color="auto" w:val="clear"/>
        </w:rPr>
        <w:t xml:space="preserve">[30]</w:t>
      </w:r>
      <w:r>
        <w:rPr>
          <w:rFonts w:ascii="Arial" w:cs="Arial" w:eastAsia="Arial" w:hAnsi="Arial"/>
          <w:color w:val="0A0E23"/>
          <w:sz w:val="20"/>
          <w:szCs w:val="20"/>
        </w:rPr>
        <w:t xml:space="preserve"> dagen, zonder vergoeding voor de resterende looptijd, indien Leverancier (a) Klantdata in strijd met artikel 3 gebruikt, (b) AI-functionaliteit introduceert die Klant niet kan uitschakelen en die de rechtmatigheid van haar verwerking raakt, of (c) na een modelwissel de gedocumenteerde prestaties structureel niet haalt.</w:t>
      </w:r>
    </w:p>
    <w:p>
      <w:pPr>
        <w:spacing w:after="140" w:line="300"/>
      </w:pPr>
      <w:r>
        <w:rPr>
          <w:rFonts w:ascii="Arial" w:cs="Arial" w:eastAsia="Arial" w:hAnsi="Arial"/>
          <w:color w:val="0A0E23"/>
          <w:sz w:val="20"/>
          <w:szCs w:val="20"/>
        </w:rPr>
        <w:t xml:space="preserve">8.4 Dit addendum gaat vóór op de hoofdovereenkomst, de algemene voorwaarden en de online documentatie van Leverancier voor zover het AI-functionaliteit betreft.</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373"/>
        <w:gridCol w:w="6265"/>
      </w:tblGrid>
      <w:tr>
        <w:trPr>
          <w:tblHeader/>
        </w:trPr>
        <w:tc>
          <w:tcPr>
            <w:tcW w:type="dxa" w:w="3373"/>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Onderdeel</w:t>
            </w:r>
          </w:p>
        </w:tc>
        <w:tc>
          <w:tcPr>
            <w:tcW w:type="dxa" w:w="6265"/>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Invullen</w:t>
            </w:r>
          </w:p>
        </w:tc>
      </w:tr>
      <w:tr>
        <w:trPr>
          <w:cantSplit/>
        </w:trPr>
        <w:tc>
          <w:tcPr>
            <w:tcW w:type="dxa" w:w="337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Ondertekening Klant</w:t>
            </w:r>
          </w:p>
        </w:tc>
        <w:tc>
          <w:tcPr>
            <w:tcW w:type="dxa" w:w="626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[Naam, functie, datum, handtekening]</w:t>
            </w:r>
          </w:p>
        </w:tc>
      </w:tr>
      <w:tr>
        <w:trPr>
          <w:cantSplit/>
        </w:trPr>
        <w:tc>
          <w:tcPr>
            <w:tcW w:type="dxa" w:w="337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Ondertekening Leverancier</w:t>
            </w:r>
          </w:p>
        </w:tc>
        <w:tc>
          <w:tcPr>
            <w:tcW w:type="dxa" w:w="626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[Naam, functie, datum, handtekening]</w:t>
            </w:r>
          </w:p>
        </w:tc>
      </w:tr>
    </w:tbl>
    <w:p>
      <w:pPr>
        <w:spacing w:after="120"/>
      </w:pPr>
    </w:p>
    <w:p>
      <w:pPr>
        <w:pStyle w:val="Heading1"/>
        <w:keepNext/>
        <w:spacing w:after="160" w:before="360"/>
      </w:pPr>
      <w:r>
        <w:rPr>
          <w:rFonts w:ascii="Arial" w:cs="Arial" w:eastAsia="Arial" w:hAnsi="Arial"/>
          <w:b/>
          <w:bCs/>
          <w:color w:val="0A0E23"/>
          <w:sz w:val="28"/>
          <w:szCs w:val="28"/>
        </w:rPr>
        <w:t xml:space="preserve">Bijlage 1. Inventaris AI-functionaliteit</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349"/>
        <w:gridCol w:w="1349"/>
        <w:gridCol w:w="1542"/>
        <w:gridCol w:w="1060"/>
        <w:gridCol w:w="1157"/>
        <w:gridCol w:w="1253"/>
        <w:gridCol w:w="964"/>
        <w:gridCol w:w="964"/>
      </w:tblGrid>
      <w:tr>
        <w:trPr>
          <w:tblHeader/>
        </w:trPr>
        <w:tc>
          <w:tcPr>
            <w:tcW w:type="dxa" w:w="1349"/>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Functie</w:t>
            </w:r>
          </w:p>
        </w:tc>
        <w:tc>
          <w:tcPr>
            <w:tcW w:type="dxa" w:w="1349"/>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Doel</w:t>
            </w:r>
          </w:p>
        </w:tc>
        <w:tc>
          <w:tcPr>
            <w:tcW w:type="dxa" w:w="1542"/>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Model / leverancier / versie</w:t>
            </w:r>
          </w:p>
        </w:tc>
        <w:tc>
          <w:tcPr>
            <w:tcW w:type="dxa" w:w="1060"/>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Locatie verwerking</w:t>
            </w:r>
          </w:p>
        </w:tc>
        <w:tc>
          <w:tcPr>
            <w:tcW w:type="dxa" w:w="1157"/>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Gebruik Klantdata voor training?</w:t>
            </w:r>
          </w:p>
        </w:tc>
        <w:tc>
          <w:tcPr>
            <w:tcW w:type="dxa" w:w="1253"/>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Rol AI Act (L = aanbieder / K = gebruiksverantw.)</w:t>
            </w:r>
          </w:p>
        </w:tc>
        <w:tc>
          <w:tcPr>
            <w:tcW w:type="dxa" w:w="964"/>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Hoogrisico?</w:t>
            </w:r>
          </w:p>
        </w:tc>
        <w:tc>
          <w:tcPr>
            <w:tcW w:type="dxa" w:w="964"/>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Standaard aan/uit</w:t>
            </w:r>
          </w:p>
        </w:tc>
      </w:tr>
      <w:tr>
        <w:trPr>
          <w:cantSplit/>
        </w:trPr>
        <w:tc>
          <w:tcPr>
            <w:tcW w:type="dxa" w:w="134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[bijv. AI-assistent in helpdesk]</w:t>
            </w:r>
          </w:p>
        </w:tc>
        <w:tc>
          <w:tcPr>
            <w:tcW w:type="dxa" w:w="134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[antwoordsuggesties]</w:t>
            </w:r>
          </w:p>
        </w:tc>
        <w:tc>
          <w:tcPr>
            <w:tcW w:type="dxa" w:w="1542"/>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[GPT-x via Azure OpenAI, v…]</w:t>
            </w:r>
          </w:p>
        </w:tc>
        <w:tc>
          <w:tcPr>
            <w:tcW w:type="dxa" w:w="1060"/>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[EU-West]</w:t>
            </w:r>
          </w:p>
        </w:tc>
        <w:tc>
          <w:tcPr>
            <w:tcW w:type="dxa" w:w="1157"/>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[nee]</w:t>
            </w:r>
          </w:p>
        </w:tc>
        <w:tc>
          <w:tcPr>
            <w:tcW w:type="dxa" w:w="125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[L]</w:t>
            </w:r>
          </w:p>
        </w:tc>
        <w:tc>
          <w:tcPr>
            <w:tcW w:type="dxa" w:w="964"/>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[nee]</w:t>
            </w:r>
          </w:p>
        </w:tc>
        <w:tc>
          <w:tcPr>
            <w:tcW w:type="dxa" w:w="964"/>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[uit]</w:t>
            </w:r>
          </w:p>
        </w:tc>
      </w:tr>
      <w:tr>
        <w:trPr>
          <w:cantSplit/>
        </w:trPr>
        <w:tc>
          <w:tcPr>
            <w:tcW w:type="dxa" w:w="1349"/>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 ]</w:t>
            </w:r>
          </w:p>
        </w:tc>
        <w:tc>
          <w:tcPr>
            <w:tcW w:type="dxa" w:w="1349"/>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 ]</w:t>
            </w:r>
          </w:p>
        </w:tc>
        <w:tc>
          <w:tcPr>
            <w:tcW w:type="dxa" w:w="1542"/>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 ]</w:t>
            </w:r>
          </w:p>
        </w:tc>
        <w:tc>
          <w:tcPr>
            <w:tcW w:type="dxa" w:w="1060"/>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 ]</w:t>
            </w:r>
          </w:p>
        </w:tc>
        <w:tc>
          <w:tcPr>
            <w:tcW w:type="dxa" w:w="1157"/>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 ]</w:t>
            </w:r>
          </w:p>
        </w:tc>
        <w:tc>
          <w:tcPr>
            <w:tcW w:type="dxa" w:w="1253"/>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 ]</w:t>
            </w:r>
          </w:p>
        </w:tc>
        <w:tc>
          <w:tcPr>
            <w:tcW w:type="dxa" w:w="964"/>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 ]</w:t>
            </w:r>
          </w:p>
        </w:tc>
        <w:tc>
          <w:tcPr>
            <w:tcW w:type="dxa" w:w="964"/>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 ]</w:t>
            </w:r>
          </w:p>
        </w:tc>
      </w:tr>
      <w:tr>
        <w:trPr>
          <w:cantSplit/>
        </w:trPr>
        <w:tc>
          <w:tcPr>
            <w:tcW w:type="dxa" w:w="134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 ]</w:t>
            </w:r>
          </w:p>
        </w:tc>
        <w:tc>
          <w:tcPr>
            <w:tcW w:type="dxa" w:w="134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 ]</w:t>
            </w:r>
          </w:p>
        </w:tc>
        <w:tc>
          <w:tcPr>
            <w:tcW w:type="dxa" w:w="1542"/>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 ]</w:t>
            </w:r>
          </w:p>
        </w:tc>
        <w:tc>
          <w:tcPr>
            <w:tcW w:type="dxa" w:w="1060"/>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 ]</w:t>
            </w:r>
          </w:p>
        </w:tc>
        <w:tc>
          <w:tcPr>
            <w:tcW w:type="dxa" w:w="1157"/>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 ]</w:t>
            </w:r>
          </w:p>
        </w:tc>
        <w:tc>
          <w:tcPr>
            <w:tcW w:type="dxa" w:w="125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 ]</w:t>
            </w:r>
          </w:p>
        </w:tc>
        <w:tc>
          <w:tcPr>
            <w:tcW w:type="dxa" w:w="964"/>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 ]</w:t>
            </w:r>
          </w:p>
        </w:tc>
        <w:tc>
          <w:tcPr>
            <w:tcW w:type="dxa" w:w="964"/>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 ]</w:t>
            </w:r>
          </w:p>
        </w:tc>
      </w:tr>
    </w:tbl>
    <w:p>
      <w:pPr>
        <w:spacing w:after="120"/>
      </w:pPr>
    </w:p>
    <w:p>
      <w:pPr>
        <w:pBdr>
          <w:bottom w:val="single" w:color="E4E7F2" w:sz="6"/>
        </w:pBdr>
        <w:spacing w:after="160"/>
      </w:pPr>
    </w:p>
    <w:p>
      <w:pPr>
        <w:spacing w:after="140" w:line="300"/>
      </w:pPr>
      <w:r>
        <w:rPr>
          <w:rFonts w:ascii="Arial" w:cs="Arial" w:eastAsia="Arial" w:hAnsi="Arial"/>
          <w:color w:val="5A6480"/>
          <w:sz w:val="16"/>
          <w:szCs w:val="16"/>
        </w:rPr>
        <w:t xml:space="preserve">Dit template is algemene informatie en geen juridisch advies. Laat definitieve contractteksten toetsen door een jurist. Template © VendorManager.nl, een dienst van Digital Sourcing B.V. (KvK 76477185). Vrij te gebruiken binnen uw organisatie; niet doorverkopen. Meer templates en gratis tools: www.vendormanager.nl/templates.html</w:t>
      </w:r>
    </w:p>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5A6480"/>
        <w:sz w:val="16"/>
        <w:szCs w:val="16"/>
      </w:rPr>
      <w:t xml:space="preserve">Pagina </w:t>
    </w:r>
    <w:r>
      <w:rPr>
        <w:rFonts w:ascii="Arial" w:cs="Arial" w:eastAsia="Arial" w:hAnsi="Arial"/>
        <w:color w:val="5A6480"/>
        <w:sz w:val="16"/>
        <w:szCs w:val="16"/>
      </w:rPr>
      <w:fldChar w:fldCharType="begin"/>
      <w:instrText xml:space="preserve">PAGE</w:instrText>
      <w:fldChar w:fldCharType="separate"/>
      <w:fldChar w:fldCharType="end"/>
    </w:r>
    <w:r>
      <w:rPr>
        <w:rFonts w:ascii="Arial" w:cs="Arial" w:eastAsia="Arial" w:hAnsi="Arial"/>
        <w:color w:val="5A6480"/>
        <w:sz w:val="16"/>
        <w:szCs w:val="16"/>
      </w:rPr>
      <w:t xml:space="preserve"> van </w:t>
    </w:r>
    <w:r>
      <w:rPr>
        <w:rFonts w:ascii="Arial" w:cs="Arial" w:eastAsia="Arial" w:hAnsi="Arial"/>
        <w:color w:val="5A6480"/>
        <w:sz w:val="16"/>
        <w:szCs w:val="16"/>
      </w:rPr>
      <w:fldChar w:fldCharType="begin"/>
      <w:instrText xml:space="preserve">NUMPAGES</w:instrText>
      <w:fldChar w:fldCharType="separate"/>
      <w:fldChar w:fldCharType="end"/>
    </w:r>
    <w:r>
      <w:rPr>
        <w:rFonts w:ascii="Arial" w:cs="Arial" w:eastAsia="Arial" w:hAnsi="Arial"/>
        <w:color w:val="5A6480"/>
        <w:sz w:val="16"/>
        <w:szCs w:val="16"/>
      </w:rPr>
      <w:t xml:space="preserve">  ·  Versie [1.0] · [datum]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4E7F2" w:sz="4"/>
      </w:pBdr>
      <w:tabs>
        <w:tab w:val="right" w:pos="9638"/>
      </w:tabs>
      <w:spacing w:after="200"/>
    </w:pPr>
    <w:r>
      <w:rPr>
        <w:rFonts w:ascii="Arial" w:cs="Arial" w:eastAsia="Arial" w:hAnsi="Arial"/>
        <w:color w:val="5A6480"/>
        <w:sz w:val="16"/>
        <w:szCs w:val="16"/>
      </w:rPr>
      <w:t xml:space="preserve">AI-addendum bij een softwarecontract</w:t>
    </w:r>
    <w:r>
      <w:rPr>
        <w:rFonts w:ascii="Arial" w:cs="Arial" w:eastAsia="Arial" w:hAnsi="Arial"/>
        <w:color w:val="5A6480"/>
        <w:sz w:val="16"/>
        <w:szCs w:val="16"/>
      </w:rPr>
      <w:t xml:space="preserve">	vendormanager.nl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lvl>
  </w:abstractNum>
  <w:abstractNum w:abstractNumId="3" w15:restartNumberingAfterBreak="0">
    <w:multiLevelType w:val="hybridMultilevel"/>
    <w:lvl w:ilvl="0" w15:tentative="1">
      <w:start w:val="1"/>
      <w:numFmt w:val="decimal"/>
      <w:lvlText w:val="%1."/>
      <w:lvlJc w:val="left"/>
      <w:pPr>
        <w:ind w:left="48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A0E23"/>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Arial" w:cs="Arial" w:eastAsia="Arial" w:hAnsi="Arial"/>
      <w:b/>
      <w:bCs/>
      <w:color w:val="0A0E23"/>
      <w:sz w:val="28"/>
      <w:szCs w:val="28"/>
    </w:rPr>
  </w:style>
  <w:style w:type="paragraph" w:styleId="Heading2">
    <w:name w:val="Heading 2"/>
    <w:basedOn w:val="Normal"/>
    <w:next w:val="Normal"/>
    <w:qFormat/>
    <w:pPr>
      <w:spacing w:after="100" w:before="240"/>
      <w:outlineLvl w:val="1"/>
    </w:pPr>
    <w:rPr>
      <w:rFonts w:ascii="Arial" w:cs="Arial" w:eastAsia="Arial" w:hAnsi="Arial"/>
      <w:b/>
      <w:bCs/>
      <w:color w:val="2E5BFF"/>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AI-addendum bij een softwarecontract</dc:title>
  <dc:creator>VendorManager.nl</dc:creator>
  <dc:description>Aanvullende voorwaarden voor leveranciers die AI-functionaliteit in hun dienst (gaan) aanbieden: transparantie, datagebruik, rolverdeling onder de AI Act, wijzigingsbeheer, menselijk toezicht en aansprakelijkheid.</dc:description>
  <cp:lastModifiedBy>Un-named</cp:lastModifiedBy>
  <cp:revision>1</cp:revision>
  <dcterms:created xsi:type="dcterms:W3CDTF">2026-09-08T09:03:50.975Z</dcterms:created>
  <dcterms:modified xsi:type="dcterms:W3CDTF">2026-09-08T09:03:50.975Z</dcterms:modified>
</cp:coreProperties>
</file>

<file path=docProps/custom.xml><?xml version="1.0" encoding="utf-8"?>
<Properties xmlns="http://schemas.openxmlformats.org/officeDocument/2006/custom-properties" xmlns:vt="http://schemas.openxmlformats.org/officeDocument/2006/docPropsVTypes"/>
</file>