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</w:pPr>
      <w:r>
        <w:rPr>
          <w:rFonts w:ascii="Arial" w:cs="Arial" w:eastAsia="Arial" w:hAnsi="Arial"/>
          <w:b/>
          <w:bCs/>
          <w:caps/>
          <w:color w:val="2E5BFF"/>
          <w:spacing w:val="30"/>
          <w:sz w:val="16"/>
          <w:szCs w:val="16"/>
        </w:rPr>
        <w:t xml:space="preserve">VendorManager.nl template · Exit-plan</w:t>
      </w:r>
    </w:p>
    <w:p>
      <w:pPr>
        <w:spacing w:after="120"/>
      </w:pPr>
      <w:r>
        <w:rPr>
          <w:rFonts w:ascii="Arial" w:cs="Arial" w:eastAsia="Arial" w:hAnsi="Arial"/>
          <w:b/>
          <w:bCs/>
          <w:color w:val="0A0E23"/>
          <w:sz w:val="40"/>
          <w:szCs w:val="40"/>
        </w:rPr>
        <w:t xml:space="preserve">Exit-plan voor een bedrijfskritische leverancier</w:t>
      </w:r>
    </w:p>
    <w:p>
      <w:pPr>
        <w:spacing w:after="200" w:line="300"/>
      </w:pPr>
      <w:r>
        <w:rPr>
          <w:rFonts w:ascii="Arial" w:cs="Arial" w:eastAsia="Arial" w:hAnsi="Arial"/>
          <w:color w:val="5A6480"/>
          <w:sz w:val="22"/>
          <w:szCs w:val="22"/>
        </w:rPr>
        <w:t xml:space="preserve">Wat u vandaag regelt zodat u morgen kunt vertrekken: contractuele exit-afspraken, een getest data-exportpad, een terugvaloptie en een draaiboek met eigenaren en doorlooptijden.</w:t>
      </w:r>
    </w:p>
    <w:p>
      <w:pPr>
        <w:pBdr>
          <w:bottom w:val="single" w:color="E4E7F2" w:sz="6"/>
        </w:pBdr>
        <w:spacing w:after="160"/>
      </w:pP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373"/>
        <w:gridCol w:w="6265"/>
      </w:tblGrid>
      <w:tr>
        <w:trPr>
          <w:tblHeader/>
        </w:trPr>
        <w:tc>
          <w:tcPr>
            <w:tcW w:type="dxa" w:w="3373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Onderdeel</w:t>
            </w:r>
          </w:p>
        </w:tc>
        <w:tc>
          <w:tcPr>
            <w:tcW w:type="dxa" w:w="626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Invullen</w:t>
            </w:r>
          </w:p>
        </w:tc>
      </w:tr>
      <w:tr>
        <w:trPr>
          <w:cantSplit/>
        </w:trPr>
        <w:tc>
          <w:tcPr>
            <w:tcW w:type="dxa" w:w="3373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Leverancier en dienst</w:t>
            </w:r>
          </w:p>
        </w:tc>
        <w:tc>
          <w:tcPr>
            <w:tcW w:type="dxa" w:w="626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[Naam leverancier – dienst/product]</w:t>
            </w:r>
          </w:p>
        </w:tc>
      </w:tr>
      <w:tr>
        <w:trPr>
          <w:cantSplit/>
        </w:trPr>
        <w:tc>
          <w:tcPr>
            <w:tcW w:type="dxa" w:w="3373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Bedrijfskritisch belang</w:t>
            </w:r>
          </w:p>
        </w:tc>
        <w:tc>
          <w:tcPr>
            <w:tcW w:type="dxa" w:w="626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[Hoog / Midden]</w:t>
            </w: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 – </w:t>
            </w: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[motivering: welke processen vallen stil bij uitval?]</w:t>
            </w:r>
          </w:p>
        </w:tc>
      </w:tr>
      <w:tr>
        <w:trPr>
          <w:cantSplit/>
        </w:trPr>
        <w:tc>
          <w:tcPr>
            <w:tcW w:type="dxa" w:w="3373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Contract</w:t>
            </w:r>
          </w:p>
        </w:tc>
        <w:tc>
          <w:tcPr>
            <w:tcW w:type="dxa" w:w="626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[Nummer, einddatum lopende periode, opzegtermijn, opzegdeadline]</w:t>
            </w:r>
          </w:p>
        </w:tc>
      </w:tr>
      <w:tr>
        <w:trPr>
          <w:cantSplit/>
        </w:trPr>
        <w:tc>
          <w:tcPr>
            <w:tcW w:type="dxa" w:w="3373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Eigenaar exit-plan</w:t>
            </w:r>
          </w:p>
        </w:tc>
        <w:tc>
          <w:tcPr>
            <w:tcW w:type="dxa" w:w="626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[Naam, functie]</w:t>
            </w:r>
          </w:p>
        </w:tc>
      </w:tr>
      <w:tr>
        <w:trPr>
          <w:cantSplit/>
        </w:trPr>
        <w:tc>
          <w:tcPr>
            <w:tcW w:type="dxa" w:w="3373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Laatst getest</w:t>
            </w:r>
          </w:p>
        </w:tc>
        <w:tc>
          <w:tcPr>
            <w:tcW w:type="dxa" w:w="626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[dd-mm-jjjj]</w:t>
            </w: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 – </w:t>
            </w: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[uitkomst]</w:t>
            </w:r>
          </w:p>
        </w:tc>
      </w:tr>
      <w:tr>
        <w:trPr>
          <w:cantSplit/>
        </w:trPr>
        <w:tc>
          <w:tcPr>
            <w:tcW w:type="dxa" w:w="3373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Volgende toets</w:t>
            </w:r>
          </w:p>
        </w:tc>
        <w:tc>
          <w:tcPr>
            <w:tcW w:type="dxa" w:w="626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[dd-mm-jjjj]</w:t>
            </w:r>
          </w:p>
        </w:tc>
      </w:tr>
    </w:tbl>
    <w:p>
      <w:pPr>
        <w:spacing w:after="120"/>
      </w:pPr>
    </w:p>
    <w:p>
      <w:pPr>
        <w:pBdr>
          <w:left w:val="single" w:color="2E5BFF" w:sz="12" w:space="8"/>
        </w:pBdr>
        <w:spacing w:after="160" w:line="280"/>
        <w:ind w:left="200"/>
      </w:pPr>
      <w:r>
        <w:rPr>
          <w:rFonts w:ascii="Arial" w:cs="Arial" w:eastAsia="Arial" w:hAnsi="Arial"/>
          <w:i/>
          <w:iCs/>
          <w:color w:val="5A6480"/>
          <w:sz w:val="18"/>
          <w:szCs w:val="18"/>
        </w:rPr>
        <w:t xml:space="preserve">Een exit-plan is geen teken van wantrouwen maar een voorwaarde voor een gezonde relatie: de leverancier die weet dat u kunt vertrekken, gedraagt zich bij verlengingen en prijsverhogingen anders. Voor financiële instellingen is een exitstrategie voor kritieke ICT-diensten verplicht (DORA art. 28 lid 8); voor iedereen is het verstandig bij elk contract met "Hoog" in het contractregister.</w:t>
      </w:r>
    </w:p>
    <w:p>
      <w:pPr>
        <w:pStyle w:val="Heading1"/>
        <w:keepNext/>
        <w:spacing w:after="160" w:before="360"/>
      </w:pPr>
      <w:r>
        <w:rPr>
          <w:rFonts w:ascii="Arial" w:cs="Arial" w:eastAsia="Arial" w:hAnsi="Arial"/>
          <w:b/>
          <w:bCs/>
          <w:color w:val="0A0E23"/>
          <w:sz w:val="28"/>
          <w:szCs w:val="28"/>
        </w:rPr>
        <w:t xml:space="preserve">1. Exit-scenario's</w:t>
      </w:r>
    </w:p>
    <w:p>
      <w:pPr>
        <w:spacing w:after="140" w:line="300"/>
      </w:pPr>
      <w:r>
        <w:rPr>
          <w:rFonts w:ascii="Arial" w:cs="Arial" w:eastAsia="Arial" w:hAnsi="Arial"/>
          <w:color w:val="0A0E23"/>
          <w:sz w:val="20"/>
          <w:szCs w:val="20"/>
        </w:rPr>
        <w:t xml:space="preserve">Beschrijf per scenario de aanleiding, de beschikbare tijd en wie het besluit neemt.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20"/>
        <w:gridCol w:w="3662"/>
        <w:gridCol w:w="1928"/>
        <w:gridCol w:w="1928"/>
      </w:tblGrid>
      <w:tr>
        <w:trPr>
          <w:tblHeader/>
        </w:trPr>
        <w:tc>
          <w:tcPr>
            <w:tcW w:type="dxa" w:w="2120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Scenario</w:t>
            </w:r>
          </w:p>
        </w:tc>
        <w:tc>
          <w:tcPr>
            <w:tcW w:type="dxa" w:w="366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Aanleiding</w:t>
            </w:r>
          </w:p>
        </w:tc>
        <w:tc>
          <w:tcPr>
            <w:tcW w:type="dxa" w:w="1928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Beschikbare tijd</w:t>
            </w:r>
          </w:p>
        </w:tc>
        <w:tc>
          <w:tcPr>
            <w:tcW w:type="dxa" w:w="1928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Besluit door</w:t>
            </w:r>
          </w:p>
        </w:tc>
      </w:tr>
      <w:tr>
        <w:trPr>
          <w:cantSplit/>
        </w:trPr>
        <w:tc>
          <w:tcPr>
            <w:tcW w:type="dxa" w:w="2120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Geplande exit</w:t>
            </w:r>
          </w:p>
        </w:tc>
        <w:tc>
          <w:tcPr>
            <w:tcW w:type="dxa" w:w="366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Einde looptijd, betere alternatieven, strategische heroriëntatie</w:t>
            </w:r>
          </w:p>
        </w:tc>
        <w:tc>
          <w:tcPr>
            <w:tcW w:type="dxa" w:w="1928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[6–12]</w:t>
            </w: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 maanden</w:t>
            </w:r>
          </w:p>
        </w:tc>
        <w:tc>
          <w:tcPr>
            <w:tcW w:type="dxa" w:w="1928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[Directie / CIO]</w:t>
            </w:r>
          </w:p>
        </w:tc>
      </w:tr>
      <w:tr>
        <w:trPr>
          <w:cantSplit/>
        </w:trPr>
        <w:tc>
          <w:tcPr>
            <w:tcW w:type="dxa" w:w="2120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Gedwongen exit – leverancier</w:t>
            </w:r>
          </w:p>
        </w:tc>
        <w:tc>
          <w:tcPr>
            <w:tcW w:type="dxa" w:w="366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Faillissement, overname, staken van de dienst, structureel tekortschieten (SLA art. 8)</w:t>
            </w:r>
          </w:p>
        </w:tc>
        <w:tc>
          <w:tcPr>
            <w:tcW w:type="dxa" w:w="1928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[1–3]</w:t>
            </w: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 maanden</w:t>
            </w:r>
          </w:p>
        </w:tc>
        <w:tc>
          <w:tcPr>
            <w:tcW w:type="dxa" w:w="1928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[Directie]</w:t>
            </w:r>
          </w:p>
        </w:tc>
      </w:tr>
      <w:tr>
        <w:trPr>
          <w:cantSplit/>
        </w:trPr>
        <w:tc>
          <w:tcPr>
            <w:tcW w:type="dxa" w:w="2120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Gedwongen exit – klant</w:t>
            </w:r>
          </w:p>
        </w:tc>
        <w:tc>
          <w:tcPr>
            <w:tcW w:type="dxa" w:w="366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Wettelijke of toezichtseis, beveiligingsincident, fusie</w:t>
            </w:r>
          </w:p>
        </w:tc>
        <w:tc>
          <w:tcPr>
            <w:tcW w:type="dxa" w:w="1928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[1–3]</w:t>
            </w: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 maanden</w:t>
            </w:r>
          </w:p>
        </w:tc>
        <w:tc>
          <w:tcPr>
            <w:tcW w:type="dxa" w:w="1928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[Directie]</w:t>
            </w:r>
          </w:p>
        </w:tc>
      </w:tr>
      <w:tr>
        <w:trPr>
          <w:cantSplit/>
        </w:trPr>
        <w:tc>
          <w:tcPr>
            <w:tcW w:type="dxa" w:w="2120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Noodscenario</w:t>
            </w:r>
          </w:p>
        </w:tc>
        <w:tc>
          <w:tcPr>
            <w:tcW w:type="dxa" w:w="366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Acute onbeschikbaarheid &gt; </w:t>
            </w: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[RTO]</w:t>
            </w: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, datalek, blokkade van toegang</w:t>
            </w:r>
          </w:p>
        </w:tc>
        <w:tc>
          <w:tcPr>
            <w:tcW w:type="dxa" w:w="1928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[uren–dagen]</w:t>
            </w:r>
          </w:p>
        </w:tc>
        <w:tc>
          <w:tcPr>
            <w:tcW w:type="dxa" w:w="1928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[Crisisteam]</w:t>
            </w:r>
          </w:p>
        </w:tc>
      </w:tr>
    </w:tbl>
    <w:p>
      <w:pPr>
        <w:spacing w:after="120"/>
      </w:pPr>
    </w:p>
    <w:p>
      <w:pPr>
        <w:pStyle w:val="Heading1"/>
        <w:keepNext/>
        <w:spacing w:after="160" w:before="360"/>
      </w:pPr>
      <w:r>
        <w:rPr>
          <w:rFonts w:ascii="Arial" w:cs="Arial" w:eastAsia="Arial" w:hAnsi="Arial"/>
          <w:b/>
          <w:bCs/>
          <w:color w:val="0A0E23"/>
          <w:sz w:val="28"/>
          <w:szCs w:val="28"/>
        </w:rPr>
        <w:t xml:space="preserve">2. Contractuele exit-afspraken (checklist)</w:t>
      </w:r>
    </w:p>
    <w:p>
      <w:pPr>
        <w:spacing w:after="140" w:line="300"/>
      </w:pPr>
      <w:r>
        <w:rPr>
          <w:rFonts w:ascii="Arial" w:cs="Arial" w:eastAsia="Arial" w:hAnsi="Arial"/>
          <w:color w:val="0A0E23"/>
          <w:sz w:val="20"/>
          <w:szCs w:val="20"/>
        </w:rPr>
        <w:t xml:space="preserve">Vink af wat in het huidige contract is geregeld. Elk ontbrekend punt is een onderhandelpunt bij de eerstvolgende verlenging.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12"/>
        <w:gridCol w:w="1157"/>
        <w:gridCol w:w="1542"/>
        <w:gridCol w:w="1928"/>
      </w:tblGrid>
      <w:tr>
        <w:trPr>
          <w:tblHeader/>
        </w:trPr>
        <w:tc>
          <w:tcPr>
            <w:tcW w:type="dxa" w:w="501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Afspraak</w:t>
            </w:r>
          </w:p>
        </w:tc>
        <w:tc>
          <w:tcPr>
            <w:tcW w:type="dxa" w:w="115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Geregeld?</w:t>
            </w:r>
          </w:p>
        </w:tc>
        <w:tc>
          <w:tcPr>
            <w:tcW w:type="dxa" w:w="154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Waar (artikel)</w:t>
            </w:r>
          </w:p>
        </w:tc>
        <w:tc>
          <w:tcPr>
            <w:tcW w:type="dxa" w:w="1928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Actie</w:t>
            </w:r>
          </w:p>
        </w:tc>
      </w:tr>
      <w:tr>
        <w:trPr>
          <w:cantSplit/>
        </w:trPr>
        <w:tc>
          <w:tcPr>
            <w:tcW w:type="dxa" w:w="501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Data-export op verzoek, op elk moment, in een open en gedocumenteerd formaat (CSV/JSON/SQL-dump), zonder kosten</w:t>
            </w:r>
          </w:p>
        </w:tc>
        <w:tc>
          <w:tcPr>
            <w:tcW w:type="dxa" w:w="115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[ja/nee]</w:t>
            </w:r>
          </w:p>
        </w:tc>
        <w:tc>
          <w:tcPr>
            <w:tcW w:type="dxa" w:w="154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1928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  <w:tr>
        <w:trPr>
          <w:cantSplit/>
        </w:trPr>
        <w:tc>
          <w:tcPr>
            <w:tcW w:type="dxa" w:w="501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Exit-ondersteuning na beëindiging: dienst blijft </w:t>
            </w: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[3–6]</w:t>
            </w: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 maanden beschikbaar tegen het laatst geldende tarief, ongeacht de reden van beëindiging</w:t>
            </w:r>
          </w:p>
        </w:tc>
        <w:tc>
          <w:tcPr>
            <w:tcW w:type="dxa" w:w="115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[ja/nee]</w:t>
            </w:r>
          </w:p>
        </w:tc>
        <w:tc>
          <w:tcPr>
            <w:tcW w:type="dxa" w:w="154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1928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  <w:tr>
        <w:trPr>
          <w:cantSplit/>
        </w:trPr>
        <w:tc>
          <w:tcPr>
            <w:tcW w:type="dxa" w:w="501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Medewerking aan migratie: </w:t>
            </w: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[x]</w:t>
            </w: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 uur ondersteuning inbegrepen, meerwerk tegen </w:t>
            </w: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[tarief]</w:t>
            </w:r>
          </w:p>
        </w:tc>
        <w:tc>
          <w:tcPr>
            <w:tcW w:type="dxa" w:w="115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[ja/nee]</w:t>
            </w:r>
          </w:p>
        </w:tc>
        <w:tc>
          <w:tcPr>
            <w:tcW w:type="dxa" w:w="154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1928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  <w:tr>
        <w:trPr>
          <w:cantSplit/>
        </w:trPr>
        <w:tc>
          <w:tcPr>
            <w:tcW w:type="dxa" w:w="501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Verwijdering en certificaat van vernietiging van alle klantdata, inclusief back-ups en sub-verwerkers, binnen </w:t>
            </w: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[30]</w:t>
            </w: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 dagen na afloop van de exit-periode</w:t>
            </w:r>
          </w:p>
        </w:tc>
        <w:tc>
          <w:tcPr>
            <w:tcW w:type="dxa" w:w="115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[ja/nee]</w:t>
            </w:r>
          </w:p>
        </w:tc>
        <w:tc>
          <w:tcPr>
            <w:tcW w:type="dxa" w:w="154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1928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  <w:tr>
        <w:trPr>
          <w:cantSplit/>
        </w:trPr>
        <w:tc>
          <w:tcPr>
            <w:tcW w:type="dxa" w:w="501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Geen retentierecht: leverancier mag data niet achterhouden bij een betalingsgeschil</w:t>
            </w:r>
          </w:p>
        </w:tc>
        <w:tc>
          <w:tcPr>
            <w:tcW w:type="dxa" w:w="115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[ja/nee]</w:t>
            </w:r>
          </w:p>
        </w:tc>
        <w:tc>
          <w:tcPr>
            <w:tcW w:type="dxa" w:w="154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1928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  <w:tr>
        <w:trPr>
          <w:cantSplit/>
        </w:trPr>
        <w:tc>
          <w:tcPr>
            <w:tcW w:type="dxa" w:w="501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Escrow of broncode-toegang voor maatwerk / integraties (indien van toepassing)</w:t>
            </w:r>
          </w:p>
        </w:tc>
        <w:tc>
          <w:tcPr>
            <w:tcW w:type="dxa" w:w="115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[ja/nee]</w:t>
            </w:r>
          </w:p>
        </w:tc>
        <w:tc>
          <w:tcPr>
            <w:tcW w:type="dxa" w:w="154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1928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  <w:tr>
        <w:trPr>
          <w:cantSplit/>
        </w:trPr>
        <w:tc>
          <w:tcPr>
            <w:tcW w:type="dxa" w:w="501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Overdracht van configuratie, workflows, rapportdefinities en API-sleutels in leesbaar formaat</w:t>
            </w:r>
          </w:p>
        </w:tc>
        <w:tc>
          <w:tcPr>
            <w:tcW w:type="dxa" w:w="115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[ja/nee]</w:t>
            </w:r>
          </w:p>
        </w:tc>
        <w:tc>
          <w:tcPr>
            <w:tcW w:type="dxa" w:w="154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1928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  <w:tr>
        <w:trPr>
          <w:cantSplit/>
        </w:trPr>
        <w:tc>
          <w:tcPr>
            <w:tcW w:type="dxa" w:w="501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Continuïteit bij faillissement of overname: dienst en voorwaarden blijven ten minste </w:t>
            </w: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[6]</w:t>
            </w: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 maanden ongewijzigd</w:t>
            </w:r>
          </w:p>
        </w:tc>
        <w:tc>
          <w:tcPr>
            <w:tcW w:type="dxa" w:w="115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[ja/nee]</w:t>
            </w:r>
          </w:p>
        </w:tc>
        <w:tc>
          <w:tcPr>
            <w:tcW w:type="dxa" w:w="154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1928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  <w:tr>
        <w:trPr>
          <w:cantSplit/>
        </w:trPr>
        <w:tc>
          <w:tcPr>
            <w:tcW w:type="dxa" w:w="501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Opzegrecht bij structureel tekortschieten, prijsverhoging boven index en wijziging van zeggenschap (change of control)</w:t>
            </w:r>
          </w:p>
        </w:tc>
        <w:tc>
          <w:tcPr>
            <w:tcW w:type="dxa" w:w="115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[ja/nee]</w:t>
            </w:r>
          </w:p>
        </w:tc>
        <w:tc>
          <w:tcPr>
            <w:tcW w:type="dxa" w:w="154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1928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  <w:tr>
        <w:trPr>
          <w:cantSplit/>
        </w:trPr>
        <w:tc>
          <w:tcPr>
            <w:tcW w:type="dxa" w:w="501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Jaarlijkse exit-test toegestaan en ondersteund door leverancier</w:t>
            </w:r>
          </w:p>
        </w:tc>
        <w:tc>
          <w:tcPr>
            <w:tcW w:type="dxa" w:w="115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[ja/nee]</w:t>
            </w:r>
          </w:p>
        </w:tc>
        <w:tc>
          <w:tcPr>
            <w:tcW w:type="dxa" w:w="154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1928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</w:tbl>
    <w:p>
      <w:pPr>
        <w:spacing w:after="120"/>
      </w:pPr>
    </w:p>
    <w:p>
      <w:pPr>
        <w:pBdr>
          <w:left w:val="single" w:color="2E5BFF" w:sz="12" w:space="8"/>
        </w:pBdr>
        <w:spacing w:after="160" w:line="280"/>
        <w:ind w:left="200"/>
      </w:pPr>
      <w:r>
        <w:rPr>
          <w:rFonts w:ascii="Arial" w:cs="Arial" w:eastAsia="Arial" w:hAnsi="Arial"/>
          <w:i/>
          <w:iCs/>
          <w:color w:val="5A6480"/>
          <w:sz w:val="18"/>
          <w:szCs w:val="18"/>
        </w:rPr>
        <w:t xml:space="preserve">De NLdigital Voorwaarden regelen exit-ondersteuning niet vanzelf. Zonder eigen afspraak eindigt de toegang op de einddatum en is data-export een gunst. Leg het vast in de hoofdovereenkomst, niet alleen in de SLA.</w:t>
      </w:r>
    </w:p>
    <w:p>
      <w:pPr>
        <w:pStyle w:val="Heading1"/>
        <w:keepNext/>
        <w:spacing w:after="160" w:before="360"/>
      </w:pPr>
      <w:r>
        <w:rPr>
          <w:rFonts w:ascii="Arial" w:cs="Arial" w:eastAsia="Arial" w:hAnsi="Arial"/>
          <w:b/>
          <w:bCs/>
          <w:color w:val="0A0E23"/>
          <w:sz w:val="28"/>
          <w:szCs w:val="28"/>
        </w:rPr>
        <w:t xml:space="preserve">3. Data en afhankelijkheden</w:t>
      </w:r>
    </w:p>
    <w:p>
      <w:pPr>
        <w:pStyle w:val="Heading2"/>
        <w:keepNext/>
        <w:spacing w:after="100" w:before="240"/>
      </w:pPr>
      <w:r>
        <w:rPr>
          <w:rFonts w:ascii="Arial" w:cs="Arial" w:eastAsia="Arial" w:hAnsi="Arial"/>
          <w:b/>
          <w:bCs/>
          <w:color w:val="2E5BFF"/>
          <w:sz w:val="22"/>
          <w:szCs w:val="22"/>
        </w:rPr>
        <w:t xml:space="preserve">3.1 Data-inventaris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13"/>
        <w:gridCol w:w="1157"/>
        <w:gridCol w:w="1735"/>
        <w:gridCol w:w="1542"/>
        <w:gridCol w:w="1349"/>
        <w:gridCol w:w="1542"/>
      </w:tblGrid>
      <w:tr>
        <w:trPr>
          <w:tblHeader/>
        </w:trPr>
        <w:tc>
          <w:tcPr>
            <w:tcW w:type="dxa" w:w="2313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Dataset</w:t>
            </w:r>
          </w:p>
        </w:tc>
        <w:tc>
          <w:tcPr>
            <w:tcW w:type="dxa" w:w="115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Omvang</w:t>
            </w:r>
          </w:p>
        </w:tc>
        <w:tc>
          <w:tcPr>
            <w:tcW w:type="dxa" w:w="173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Formaat export</w:t>
            </w:r>
          </w:p>
        </w:tc>
        <w:tc>
          <w:tcPr>
            <w:tcW w:type="dxa" w:w="154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Bevat persoonsgegevens</w:t>
            </w:r>
          </w:p>
        </w:tc>
        <w:tc>
          <w:tcPr>
            <w:tcW w:type="dxa" w:w="1349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Nodig na exit?</w:t>
            </w:r>
          </w:p>
        </w:tc>
        <w:tc>
          <w:tcPr>
            <w:tcW w:type="dxa" w:w="154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Bewaartermijn</w:t>
            </w:r>
          </w:p>
        </w:tc>
      </w:tr>
      <w:tr>
        <w:trPr>
          <w:cantSplit/>
        </w:trPr>
        <w:tc>
          <w:tcPr>
            <w:tcW w:type="dxa" w:w="2313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[bijv. klantdossiers]</w:t>
            </w:r>
          </w:p>
        </w:tc>
        <w:tc>
          <w:tcPr>
            <w:tcW w:type="dxa" w:w="115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[GB / records]</w:t>
            </w:r>
          </w:p>
        </w:tc>
        <w:tc>
          <w:tcPr>
            <w:tcW w:type="dxa" w:w="173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[CSV + bijlagen]</w:t>
            </w:r>
          </w:p>
        </w:tc>
        <w:tc>
          <w:tcPr>
            <w:tcW w:type="dxa" w:w="154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[ja/nee]</w:t>
            </w:r>
          </w:p>
        </w:tc>
        <w:tc>
          <w:tcPr>
            <w:tcW w:type="dxa" w:w="1349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[ja]</w:t>
            </w:r>
          </w:p>
        </w:tc>
        <w:tc>
          <w:tcPr>
            <w:tcW w:type="dxa" w:w="154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[7 jaar]</w:t>
            </w:r>
          </w:p>
        </w:tc>
      </w:tr>
      <w:tr>
        <w:trPr>
          <w:cantSplit/>
        </w:trPr>
        <w:tc>
          <w:tcPr>
            <w:tcW w:type="dxa" w:w="2313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[bijv. configuratie en workflows]</w:t>
            </w:r>
          </w:p>
        </w:tc>
        <w:tc>
          <w:tcPr>
            <w:tcW w:type="dxa" w:w="115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173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[JSON]</w:t>
            </w:r>
          </w:p>
        </w:tc>
        <w:tc>
          <w:tcPr>
            <w:tcW w:type="dxa" w:w="154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[nee]</w:t>
            </w:r>
          </w:p>
        </w:tc>
        <w:tc>
          <w:tcPr>
            <w:tcW w:type="dxa" w:w="1349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[ja]</w:t>
            </w:r>
          </w:p>
        </w:tc>
        <w:tc>
          <w:tcPr>
            <w:tcW w:type="dxa" w:w="154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  <w:tr>
        <w:trPr>
          <w:cantSplit/>
        </w:trPr>
        <w:tc>
          <w:tcPr>
            <w:tcW w:type="dxa" w:w="2313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[bijv. logbestanden]</w:t>
            </w:r>
          </w:p>
        </w:tc>
        <w:tc>
          <w:tcPr>
            <w:tcW w:type="dxa" w:w="115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173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154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[ja]</w:t>
            </w:r>
          </w:p>
        </w:tc>
        <w:tc>
          <w:tcPr>
            <w:tcW w:type="dxa" w:w="1349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[deels]</w:t>
            </w:r>
          </w:p>
        </w:tc>
        <w:tc>
          <w:tcPr>
            <w:tcW w:type="dxa" w:w="154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</w:tbl>
    <w:p>
      <w:pPr>
        <w:spacing w:after="120"/>
      </w:pPr>
    </w:p>
    <w:p>
      <w:pPr>
        <w:pStyle w:val="Heading2"/>
        <w:keepNext/>
        <w:spacing w:after="100" w:before="240"/>
      </w:pPr>
      <w:r>
        <w:rPr>
          <w:rFonts w:ascii="Arial" w:cs="Arial" w:eastAsia="Arial" w:hAnsi="Arial"/>
          <w:b/>
          <w:bCs/>
          <w:color w:val="2E5BFF"/>
          <w:sz w:val="22"/>
          <w:szCs w:val="22"/>
        </w:rPr>
        <w:t xml:space="preserve">3.2 Integraties en afhankelijkheden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77"/>
        <w:gridCol w:w="1349"/>
        <w:gridCol w:w="2120"/>
        <w:gridCol w:w="2891"/>
      </w:tblGrid>
      <w:tr>
        <w:trPr>
          <w:tblHeader/>
        </w:trPr>
        <w:tc>
          <w:tcPr>
            <w:tcW w:type="dxa" w:w="327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Integratie / afhankelijkheid</w:t>
            </w:r>
          </w:p>
        </w:tc>
        <w:tc>
          <w:tcPr>
            <w:tcW w:type="dxa" w:w="1349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Richting</w:t>
            </w:r>
          </w:p>
        </w:tc>
        <w:tc>
          <w:tcPr>
            <w:tcW w:type="dxa" w:w="2120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Eigenaar</w:t>
            </w:r>
          </w:p>
        </w:tc>
        <w:tc>
          <w:tcPr>
            <w:tcW w:type="dxa" w:w="289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Alternatief bij exit</w:t>
            </w:r>
          </w:p>
        </w:tc>
      </w:tr>
      <w:tr>
        <w:trPr>
          <w:cantSplit/>
        </w:trPr>
        <w:tc>
          <w:tcPr>
            <w:tcW w:type="dxa" w:w="327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[bijv. koppeling met boekhoudpakket]</w:t>
            </w:r>
          </w:p>
        </w:tc>
        <w:tc>
          <w:tcPr>
            <w:tcW w:type="dxa" w:w="1349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[in/uit]</w:t>
            </w:r>
          </w:p>
        </w:tc>
        <w:tc>
          <w:tcPr>
            <w:tcW w:type="dxa" w:w="2120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289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  <w:tr>
        <w:trPr>
          <w:cantSplit/>
        </w:trPr>
        <w:tc>
          <w:tcPr>
            <w:tcW w:type="dxa" w:w="327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[bijv. SSO via Entra ID]</w:t>
            </w:r>
          </w:p>
        </w:tc>
        <w:tc>
          <w:tcPr>
            <w:tcW w:type="dxa" w:w="1349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[in]</w:t>
            </w:r>
          </w:p>
        </w:tc>
        <w:tc>
          <w:tcPr>
            <w:tcW w:type="dxa" w:w="2120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289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  <w:tr>
        <w:trPr>
          <w:cantSplit/>
        </w:trPr>
        <w:tc>
          <w:tcPr>
            <w:tcW w:type="dxa" w:w="327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[bijv. rapportages in Power BI]</w:t>
            </w:r>
          </w:p>
        </w:tc>
        <w:tc>
          <w:tcPr>
            <w:tcW w:type="dxa" w:w="1349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[uit]</w:t>
            </w:r>
          </w:p>
        </w:tc>
        <w:tc>
          <w:tcPr>
            <w:tcW w:type="dxa" w:w="2120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289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</w:tbl>
    <w:p>
      <w:pPr>
        <w:spacing w:after="120"/>
      </w:pPr>
    </w:p>
    <w:p>
      <w:pPr>
        <w:pStyle w:val="Heading2"/>
        <w:keepNext/>
        <w:spacing w:after="100" w:before="240"/>
      </w:pPr>
      <w:r>
        <w:rPr>
          <w:rFonts w:ascii="Arial" w:cs="Arial" w:eastAsia="Arial" w:hAnsi="Arial"/>
          <w:b/>
          <w:bCs/>
          <w:color w:val="2E5BFF"/>
          <w:sz w:val="22"/>
          <w:szCs w:val="22"/>
        </w:rPr>
        <w:t xml:space="preserve">3.3 Lock-in-beoordeling</w:t>
      </w:r>
    </w:p>
    <w:p>
      <w:pPr>
        <w:pStyle w:val="ListParagraph"/>
        <w:numPr>
          <w:ilvl w:val="0"/>
          <w:numId w:val="2"/>
        </w:numPr>
        <w:spacing w:after="80" w:line="290"/>
      </w:pPr>
      <w:r>
        <w:rPr>
          <w:rFonts w:ascii="Arial" w:cs="Arial" w:eastAsia="Arial" w:hAnsi="Arial"/>
          <w:color w:val="0A0E23"/>
          <w:sz w:val="20"/>
          <w:szCs w:val="20"/>
        </w:rPr>
        <w:t xml:space="preserve">Proprietair dataformaat of gedocumenteerd open formaat? </w:t>
      </w:r>
      <w:r>
        <w:rPr>
          <w:rFonts w:ascii="Arial" w:cs="Arial" w:eastAsia="Arial" w:hAnsi="Arial"/>
          <w:color w:val="1E45D8"/>
          <w:sz w:val="20"/>
          <w:szCs w:val="20"/>
          <w:shd w:fill="EAF0FF" w:color="auto" w:val="clear"/>
        </w:rPr>
        <w:t xml:space="preserve">[ ]</w:t>
      </w:r>
    </w:p>
    <w:p>
      <w:pPr>
        <w:pStyle w:val="ListParagraph"/>
        <w:numPr>
          <w:ilvl w:val="0"/>
          <w:numId w:val="2"/>
        </w:numPr>
        <w:spacing w:after="80" w:line="290"/>
      </w:pPr>
      <w:r>
        <w:rPr>
          <w:rFonts w:ascii="Arial" w:cs="Arial" w:eastAsia="Arial" w:hAnsi="Arial"/>
          <w:color w:val="0A0E23"/>
          <w:sz w:val="20"/>
          <w:szCs w:val="20"/>
        </w:rPr>
        <w:t xml:space="preserve">Kan de export worden ingelezen in ten minste één concurrerend product? Getest op </w:t>
      </w:r>
      <w:r>
        <w:rPr>
          <w:rFonts w:ascii="Arial" w:cs="Arial" w:eastAsia="Arial" w:hAnsi="Arial"/>
          <w:color w:val="1E45D8"/>
          <w:sz w:val="20"/>
          <w:szCs w:val="20"/>
          <w:shd w:fill="EAF0FF" w:color="auto" w:val="clear"/>
        </w:rPr>
        <w:t xml:space="preserve">[datum]</w:t>
      </w:r>
      <w:r>
        <w:rPr>
          <w:rFonts w:ascii="Arial" w:cs="Arial" w:eastAsia="Arial" w:hAnsi="Arial"/>
          <w:color w:val="0A0E23"/>
          <w:sz w:val="20"/>
          <w:szCs w:val="20"/>
        </w:rPr>
        <w:t xml:space="preserve">: </w:t>
      </w:r>
      <w:r>
        <w:rPr>
          <w:rFonts w:ascii="Arial" w:cs="Arial" w:eastAsia="Arial" w:hAnsi="Arial"/>
          <w:color w:val="1E45D8"/>
          <w:sz w:val="20"/>
          <w:szCs w:val="20"/>
          <w:shd w:fill="EAF0FF" w:color="auto" w:val="clear"/>
        </w:rPr>
        <w:t xml:space="preserve">[ja/nee]</w:t>
      </w:r>
    </w:p>
    <w:p>
      <w:pPr>
        <w:pStyle w:val="ListParagraph"/>
        <w:numPr>
          <w:ilvl w:val="0"/>
          <w:numId w:val="2"/>
        </w:numPr>
        <w:spacing w:after="80" w:line="290"/>
      </w:pPr>
      <w:r>
        <w:rPr>
          <w:rFonts w:ascii="Arial" w:cs="Arial" w:eastAsia="Arial" w:hAnsi="Arial"/>
          <w:color w:val="0A0E23"/>
          <w:sz w:val="20"/>
          <w:szCs w:val="20"/>
        </w:rPr>
        <w:t xml:space="preserve">Zijn maatwerk, scripts en templates buiten het platform gedocumenteerd? </w:t>
      </w:r>
      <w:r>
        <w:rPr>
          <w:rFonts w:ascii="Arial" w:cs="Arial" w:eastAsia="Arial" w:hAnsi="Arial"/>
          <w:color w:val="1E45D8"/>
          <w:sz w:val="20"/>
          <w:szCs w:val="20"/>
          <w:shd w:fill="EAF0FF" w:color="auto" w:val="clear"/>
        </w:rPr>
        <w:t xml:space="preserve">[ ]</w:t>
      </w:r>
    </w:p>
    <w:p>
      <w:pPr>
        <w:pStyle w:val="ListParagraph"/>
        <w:numPr>
          <w:ilvl w:val="0"/>
          <w:numId w:val="2"/>
        </w:numPr>
        <w:spacing w:after="80" w:line="290"/>
      </w:pPr>
      <w:r>
        <w:rPr>
          <w:rFonts w:ascii="Arial" w:cs="Arial" w:eastAsia="Arial" w:hAnsi="Arial"/>
          <w:color w:val="0A0E23"/>
          <w:sz w:val="20"/>
          <w:szCs w:val="20"/>
        </w:rPr>
        <w:t xml:space="preserve">Hoeveel gebruikers moeten opnieuw worden getraind? </w:t>
      </w:r>
      <w:r>
        <w:rPr>
          <w:rFonts w:ascii="Arial" w:cs="Arial" w:eastAsia="Arial" w:hAnsi="Arial"/>
          <w:color w:val="1E45D8"/>
          <w:sz w:val="20"/>
          <w:szCs w:val="20"/>
          <w:shd w:fill="EAF0FF" w:color="auto" w:val="clear"/>
        </w:rPr>
        <w:t xml:space="preserve">[aantal]</w:t>
      </w:r>
      <w:r>
        <w:rPr>
          <w:rFonts w:ascii="Arial" w:cs="Arial" w:eastAsia="Arial" w:hAnsi="Arial"/>
          <w:color w:val="0A0E23"/>
          <w:sz w:val="20"/>
          <w:szCs w:val="20"/>
        </w:rPr>
        <w:t xml:space="preserve"> – geschatte doorlooptijd </w:t>
      </w:r>
      <w:r>
        <w:rPr>
          <w:rFonts w:ascii="Arial" w:cs="Arial" w:eastAsia="Arial" w:hAnsi="Arial"/>
          <w:color w:val="1E45D8"/>
          <w:sz w:val="20"/>
          <w:szCs w:val="20"/>
          <w:shd w:fill="EAF0FF" w:color="auto" w:val="clear"/>
        </w:rPr>
        <w:t xml:space="preserve">[weken]</w:t>
      </w:r>
    </w:p>
    <w:p>
      <w:pPr>
        <w:pStyle w:val="ListParagraph"/>
        <w:numPr>
          <w:ilvl w:val="0"/>
          <w:numId w:val="2"/>
        </w:numPr>
        <w:spacing w:after="80" w:line="290"/>
      </w:pPr>
      <w:r>
        <w:rPr>
          <w:rFonts w:ascii="Arial" w:cs="Arial" w:eastAsia="Arial" w:hAnsi="Arial"/>
          <w:color w:val="0A0E23"/>
          <w:sz w:val="20"/>
          <w:szCs w:val="20"/>
        </w:rPr>
        <w:t xml:space="preserve">Contractuele lock-in: resterende looptijd </w:t>
      </w:r>
      <w:r>
        <w:rPr>
          <w:rFonts w:ascii="Arial" w:cs="Arial" w:eastAsia="Arial" w:hAnsi="Arial"/>
          <w:color w:val="1E45D8"/>
          <w:sz w:val="20"/>
          <w:szCs w:val="20"/>
          <w:shd w:fill="EAF0FF" w:color="auto" w:val="clear"/>
        </w:rPr>
        <w:t xml:space="preserve">[ ]</w:t>
      </w:r>
      <w:r>
        <w:rPr>
          <w:rFonts w:ascii="Arial" w:cs="Arial" w:eastAsia="Arial" w:hAnsi="Arial"/>
          <w:color w:val="0A0E23"/>
          <w:sz w:val="20"/>
          <w:szCs w:val="20"/>
        </w:rPr>
        <w:t xml:space="preserve">, boete bij vroegtijdige beëindiging </w:t>
      </w:r>
      <w:r>
        <w:rPr>
          <w:rFonts w:ascii="Arial" w:cs="Arial" w:eastAsia="Arial" w:hAnsi="Arial"/>
          <w:color w:val="1E45D8"/>
          <w:sz w:val="20"/>
          <w:szCs w:val="20"/>
          <w:shd w:fill="EAF0FF" w:color="auto" w:val="clear"/>
        </w:rPr>
        <w:t xml:space="preserve">[ ]</w:t>
      </w:r>
    </w:p>
    <w:p>
      <w:pPr>
        <w:pStyle w:val="Heading1"/>
        <w:keepNext/>
        <w:spacing w:after="160" w:before="360"/>
      </w:pPr>
      <w:r>
        <w:rPr>
          <w:rFonts w:ascii="Arial" w:cs="Arial" w:eastAsia="Arial" w:hAnsi="Arial"/>
          <w:b/>
          <w:bCs/>
          <w:color w:val="0A0E23"/>
          <w:sz w:val="28"/>
          <w:szCs w:val="28"/>
        </w:rPr>
        <w:t xml:space="preserve">4. Terugvalopties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928"/>
        <w:gridCol w:w="3470"/>
        <w:gridCol w:w="1349"/>
        <w:gridCol w:w="1446"/>
        <w:gridCol w:w="1446"/>
      </w:tblGrid>
      <w:tr>
        <w:trPr>
          <w:tblHeader/>
        </w:trPr>
        <w:tc>
          <w:tcPr>
            <w:tcW w:type="dxa" w:w="1928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Optie</w:t>
            </w:r>
          </w:p>
        </w:tc>
        <w:tc>
          <w:tcPr>
            <w:tcW w:type="dxa" w:w="3470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Beschrijving</w:t>
            </w:r>
          </w:p>
        </w:tc>
        <w:tc>
          <w:tcPr>
            <w:tcW w:type="dxa" w:w="1349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Gereedheid</w:t>
            </w:r>
          </w:p>
        </w:tc>
        <w:tc>
          <w:tcPr>
            <w:tcW w:type="dxa" w:w="1446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Kosten (indicatie)</w:t>
            </w:r>
          </w:p>
        </w:tc>
        <w:tc>
          <w:tcPr>
            <w:tcW w:type="dxa" w:w="1446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Doorlooptijd</w:t>
            </w:r>
          </w:p>
        </w:tc>
      </w:tr>
      <w:tr>
        <w:trPr>
          <w:cantSplit/>
        </w:trPr>
        <w:tc>
          <w:tcPr>
            <w:tcW w:type="dxa" w:w="1928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A. Alternatieve leverancier</w:t>
            </w:r>
          </w:p>
        </w:tc>
        <w:tc>
          <w:tcPr>
            <w:tcW w:type="dxa" w:w="3470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[Naam]</w:t>
            </w: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 – marktverkenning uitgevoerd op </w:t>
            </w: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[datum]</w:t>
            </w: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; proof of concept </w:t>
            </w: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[gedaan/gepland]</w:t>
            </w:r>
          </w:p>
        </w:tc>
        <w:tc>
          <w:tcPr>
            <w:tcW w:type="dxa" w:w="1349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[laag/midden/hoog]</w:t>
            </w:r>
          </w:p>
        </w:tc>
        <w:tc>
          <w:tcPr>
            <w:tcW w:type="dxa" w:w="1446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[€]</w:t>
            </w:r>
          </w:p>
        </w:tc>
        <w:tc>
          <w:tcPr>
            <w:tcW w:type="dxa" w:w="1446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[weken]</w:t>
            </w:r>
          </w:p>
        </w:tc>
      </w:tr>
      <w:tr>
        <w:trPr>
          <w:cantSplit/>
        </w:trPr>
        <w:tc>
          <w:tcPr>
            <w:tcW w:type="dxa" w:w="1928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B. Tijdelijke eigen oplossing</w:t>
            </w:r>
          </w:p>
        </w:tc>
        <w:tc>
          <w:tcPr>
            <w:tcW w:type="dxa" w:w="3470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[bijv. export in spreadsheet + handmatig proces]</w:t>
            </w:r>
          </w:p>
        </w:tc>
        <w:tc>
          <w:tcPr>
            <w:tcW w:type="dxa" w:w="1349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1446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[€]</w:t>
            </w:r>
          </w:p>
        </w:tc>
        <w:tc>
          <w:tcPr>
            <w:tcW w:type="dxa" w:w="1446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[dagen]</w:t>
            </w:r>
          </w:p>
        </w:tc>
      </w:tr>
      <w:tr>
        <w:trPr>
          <w:cantSplit/>
        </w:trPr>
        <w:tc>
          <w:tcPr>
            <w:tcW w:type="dxa" w:w="1928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C. Verlengde exit-periode</w:t>
            </w:r>
          </w:p>
        </w:tc>
        <w:tc>
          <w:tcPr>
            <w:tcW w:type="dxa" w:w="3470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Dienst tijdelijk voortzetten onder exit-bepaling (art. 2)</w:t>
            </w:r>
          </w:p>
        </w:tc>
        <w:tc>
          <w:tcPr>
            <w:tcW w:type="dxa" w:w="1349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1446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[€]</w:t>
            </w:r>
          </w:p>
        </w:tc>
        <w:tc>
          <w:tcPr>
            <w:tcW w:type="dxa" w:w="1446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[maanden]</w:t>
            </w:r>
          </w:p>
        </w:tc>
      </w:tr>
    </w:tbl>
    <w:p>
      <w:pPr>
        <w:spacing w:after="120"/>
      </w:pPr>
    </w:p>
    <w:p>
      <w:pPr>
        <w:pStyle w:val="Heading1"/>
        <w:keepNext/>
        <w:spacing w:after="160" w:before="360"/>
      </w:pPr>
      <w:r>
        <w:rPr>
          <w:rFonts w:ascii="Arial" w:cs="Arial" w:eastAsia="Arial" w:hAnsi="Arial"/>
          <w:b/>
          <w:bCs/>
          <w:color w:val="0A0E23"/>
          <w:sz w:val="28"/>
          <w:szCs w:val="28"/>
        </w:rPr>
        <w:t xml:space="preserve">5. Draaiboek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42"/>
        <w:gridCol w:w="3855"/>
        <w:gridCol w:w="1542"/>
        <w:gridCol w:w="1157"/>
        <w:gridCol w:w="1542"/>
      </w:tblGrid>
      <w:tr>
        <w:trPr>
          <w:tblHeader/>
        </w:trPr>
        <w:tc>
          <w:tcPr>
            <w:tcW w:type="dxa" w:w="154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Fase</w:t>
            </w:r>
          </w:p>
        </w:tc>
        <w:tc>
          <w:tcPr>
            <w:tcW w:type="dxa" w:w="385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Activiteiten</w:t>
            </w:r>
          </w:p>
        </w:tc>
        <w:tc>
          <w:tcPr>
            <w:tcW w:type="dxa" w:w="154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Eigenaar</w:t>
            </w:r>
          </w:p>
        </w:tc>
        <w:tc>
          <w:tcPr>
            <w:tcW w:type="dxa" w:w="115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Doorlooptijd</w:t>
            </w:r>
          </w:p>
        </w:tc>
        <w:tc>
          <w:tcPr>
            <w:tcW w:type="dxa" w:w="154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Gereed wanneer</w:t>
            </w:r>
          </w:p>
        </w:tc>
      </w:tr>
      <w:tr>
        <w:trPr>
          <w:cantSplit/>
        </w:trPr>
        <w:tc>
          <w:tcPr>
            <w:tcW w:type="dxa" w:w="154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0. Besluit</w:t>
            </w:r>
          </w:p>
        </w:tc>
        <w:tc>
          <w:tcPr>
            <w:tcW w:type="dxa" w:w="385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Exit-besluit vastleggen, scenario kiezen, budget vrijgeven, leverancier informeren conform contract (schriftelijk, aangetekend)</w:t>
            </w:r>
          </w:p>
        </w:tc>
        <w:tc>
          <w:tcPr>
            <w:tcW w:type="dxa" w:w="154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[Directie]</w:t>
            </w:r>
          </w:p>
        </w:tc>
        <w:tc>
          <w:tcPr>
            <w:tcW w:type="dxa" w:w="115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[1 week]</w:t>
            </w:r>
          </w:p>
        </w:tc>
        <w:tc>
          <w:tcPr>
            <w:tcW w:type="dxa" w:w="154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Besluit en opzegging gedocumenteerd</w:t>
            </w:r>
          </w:p>
        </w:tc>
      </w:tr>
      <w:tr>
        <w:trPr>
          <w:cantSplit/>
        </w:trPr>
        <w:tc>
          <w:tcPr>
            <w:tcW w:type="dxa" w:w="154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1. Voorbereiding</w:t>
            </w:r>
          </w:p>
        </w:tc>
        <w:tc>
          <w:tcPr>
            <w:tcW w:type="dxa" w:w="385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Projectteam, communicatieplan, data-inventaris actualiseren, doelomgeving inrichten, exit-ondersteuning inroepen</w:t>
            </w:r>
          </w:p>
        </w:tc>
        <w:tc>
          <w:tcPr>
            <w:tcW w:type="dxa" w:w="154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[Projectleider]</w:t>
            </w:r>
          </w:p>
        </w:tc>
        <w:tc>
          <w:tcPr>
            <w:tcW w:type="dxa" w:w="115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[2–4 weken]</w:t>
            </w:r>
          </w:p>
        </w:tc>
        <w:tc>
          <w:tcPr>
            <w:tcW w:type="dxa" w:w="154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Migratieplan goedgekeurd</w:t>
            </w:r>
          </w:p>
        </w:tc>
      </w:tr>
      <w:tr>
        <w:trPr>
          <w:cantSplit/>
        </w:trPr>
        <w:tc>
          <w:tcPr>
            <w:tcW w:type="dxa" w:w="154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2. Migratie</w:t>
            </w:r>
          </w:p>
        </w:tc>
        <w:tc>
          <w:tcPr>
            <w:tcW w:type="dxa" w:w="385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Volledige export, transformatie, laden in doelomgeving, integraties omzetten, parallel draaien, gebruikersacceptatie</w:t>
            </w:r>
          </w:p>
        </w:tc>
        <w:tc>
          <w:tcPr>
            <w:tcW w:type="dxa" w:w="154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[IT / functioneel beheer]</w:t>
            </w:r>
          </w:p>
        </w:tc>
        <w:tc>
          <w:tcPr>
            <w:tcW w:type="dxa" w:w="115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[4–12 weken]</w:t>
            </w:r>
          </w:p>
        </w:tc>
        <w:tc>
          <w:tcPr>
            <w:tcW w:type="dxa" w:w="154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Acceptatietest geslaagd</w:t>
            </w:r>
          </w:p>
        </w:tc>
      </w:tr>
      <w:tr>
        <w:trPr>
          <w:cantSplit/>
        </w:trPr>
        <w:tc>
          <w:tcPr>
            <w:tcW w:type="dxa" w:w="154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3. Overgang</w:t>
            </w:r>
          </w:p>
        </w:tc>
        <w:tc>
          <w:tcPr>
            <w:tcW w:type="dxa" w:w="385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Go-live doelomgeving, oude dienst read-only, gebruikers en klanten geïnformeerd, DNS/SSO/API omgezet</w:t>
            </w:r>
          </w:p>
        </w:tc>
        <w:tc>
          <w:tcPr>
            <w:tcW w:type="dxa" w:w="154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[Projectleider]</w:t>
            </w:r>
          </w:p>
        </w:tc>
        <w:tc>
          <w:tcPr>
            <w:tcW w:type="dxa" w:w="115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[1 week]</w:t>
            </w:r>
          </w:p>
        </w:tc>
        <w:tc>
          <w:tcPr>
            <w:tcW w:type="dxa" w:w="154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Oude dienst niet meer in productie</w:t>
            </w:r>
          </w:p>
        </w:tc>
      </w:tr>
      <w:tr>
        <w:trPr>
          <w:cantSplit/>
        </w:trPr>
        <w:tc>
          <w:tcPr>
            <w:tcW w:type="dxa" w:w="154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4. Afronding</w:t>
            </w:r>
          </w:p>
        </w:tc>
        <w:tc>
          <w:tcPr>
            <w:tcW w:type="dxa" w:w="385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Laatste export en archivering, vernietigingscertificaat ontvangen, toegangen ingetrokken, laatste factuur en servicecredits verrekend, contractregister bijgewerkt, evaluatie</w:t>
            </w:r>
          </w:p>
        </w:tc>
        <w:tc>
          <w:tcPr>
            <w:tcW w:type="dxa" w:w="154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[Contracteigenaar]</w:t>
            </w:r>
          </w:p>
        </w:tc>
        <w:tc>
          <w:tcPr>
            <w:tcW w:type="dxa" w:w="115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[2–4 weken]</w:t>
            </w:r>
          </w:p>
        </w:tc>
        <w:tc>
          <w:tcPr>
            <w:tcW w:type="dxa" w:w="154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Dossier gesloten</w:t>
            </w:r>
          </w:p>
        </w:tc>
      </w:tr>
    </w:tbl>
    <w:p>
      <w:pPr>
        <w:spacing w:after="120"/>
      </w:pPr>
    </w:p>
    <w:p>
      <w:pPr>
        <w:pStyle w:val="Heading1"/>
        <w:keepNext/>
        <w:spacing w:after="160" w:before="360"/>
      </w:pPr>
      <w:r>
        <w:rPr>
          <w:rFonts w:ascii="Arial" w:cs="Arial" w:eastAsia="Arial" w:hAnsi="Arial"/>
          <w:b/>
          <w:bCs/>
          <w:color w:val="0A0E23"/>
          <w:sz w:val="28"/>
          <w:szCs w:val="28"/>
        </w:rPr>
        <w:t xml:space="preserve">6. Jaarlijkse exit-test</w:t>
      </w:r>
    </w:p>
    <w:p>
      <w:pPr>
        <w:spacing w:after="140" w:line="300"/>
      </w:pPr>
      <w:r>
        <w:rPr>
          <w:rFonts w:ascii="Arial" w:cs="Arial" w:eastAsia="Arial" w:hAnsi="Arial"/>
          <w:color w:val="0A0E23"/>
          <w:sz w:val="20"/>
          <w:szCs w:val="20"/>
        </w:rPr>
        <w:t xml:space="preserve">Een exit-plan dat niet is getest, is een aanname. Voer ten minste jaarlijks uit en leg de uitkomst vast in het contractregister:</w:t>
      </w:r>
    </w:p>
    <w:p>
      <w:pPr>
        <w:pStyle w:val="ListParagraph"/>
        <w:numPr>
          <w:ilvl w:val="0"/>
          <w:numId w:val="3"/>
        </w:numPr>
        <w:spacing w:after="80" w:line="290"/>
      </w:pPr>
      <w:r>
        <w:rPr>
          <w:rFonts w:ascii="Arial" w:cs="Arial" w:eastAsia="Arial" w:hAnsi="Arial"/>
          <w:color w:val="0A0E23"/>
          <w:sz w:val="20"/>
          <w:szCs w:val="20"/>
        </w:rPr>
        <w:t xml:space="preserve">Vraag een volledige data-export op via de reguliere route en meet de doorlooptijd en de kosten.</w:t>
      </w:r>
    </w:p>
    <w:p>
      <w:pPr>
        <w:pStyle w:val="ListParagraph"/>
        <w:numPr>
          <w:ilvl w:val="0"/>
          <w:numId w:val="3"/>
        </w:numPr>
        <w:spacing w:after="80" w:line="290"/>
      </w:pPr>
      <w:r>
        <w:rPr>
          <w:rFonts w:ascii="Arial" w:cs="Arial" w:eastAsia="Arial" w:hAnsi="Arial"/>
          <w:color w:val="0A0E23"/>
          <w:sz w:val="20"/>
          <w:szCs w:val="20"/>
        </w:rPr>
        <w:t xml:space="preserve">Controleer of de export compleet en leesbaar is (aantallen, bijlagen, relaties tussen records).</w:t>
      </w:r>
    </w:p>
    <w:p>
      <w:pPr>
        <w:pStyle w:val="ListParagraph"/>
        <w:numPr>
          <w:ilvl w:val="0"/>
          <w:numId w:val="3"/>
        </w:numPr>
        <w:spacing w:after="80" w:line="290"/>
      </w:pPr>
      <w:r>
        <w:rPr>
          <w:rFonts w:ascii="Arial" w:cs="Arial" w:eastAsia="Arial" w:hAnsi="Arial"/>
          <w:color w:val="0A0E23"/>
          <w:sz w:val="20"/>
          <w:szCs w:val="20"/>
        </w:rPr>
        <w:t xml:space="preserve">Lees de export in de terugvaloptie in (ten minste een steekproef) en laat een eindgebruiker controleren.</w:t>
      </w:r>
    </w:p>
    <w:p>
      <w:pPr>
        <w:pStyle w:val="ListParagraph"/>
        <w:numPr>
          <w:ilvl w:val="0"/>
          <w:numId w:val="3"/>
        </w:numPr>
        <w:spacing w:after="80" w:line="290"/>
      </w:pPr>
      <w:r>
        <w:rPr>
          <w:rFonts w:ascii="Arial" w:cs="Arial" w:eastAsia="Arial" w:hAnsi="Arial"/>
          <w:color w:val="0A0E23"/>
          <w:sz w:val="20"/>
          <w:szCs w:val="20"/>
        </w:rPr>
        <w:t xml:space="preserve">Controleer of de contactpersonen, contractdata en integraties in dit plan nog kloppen.</w:t>
      </w:r>
    </w:p>
    <w:p>
      <w:pPr>
        <w:pStyle w:val="ListParagraph"/>
        <w:numPr>
          <w:ilvl w:val="0"/>
          <w:numId w:val="3"/>
        </w:numPr>
        <w:spacing w:after="80" w:line="290"/>
      </w:pPr>
      <w:r>
        <w:rPr>
          <w:rFonts w:ascii="Arial" w:cs="Arial" w:eastAsia="Arial" w:hAnsi="Arial"/>
          <w:color w:val="0A0E23"/>
          <w:sz w:val="20"/>
          <w:szCs w:val="20"/>
        </w:rPr>
        <w:t xml:space="preserve">Rapporteer aan </w:t>
      </w:r>
      <w:r>
        <w:rPr>
          <w:rFonts w:ascii="Arial" w:cs="Arial" w:eastAsia="Arial" w:hAnsi="Arial"/>
          <w:color w:val="1E45D8"/>
          <w:sz w:val="20"/>
          <w:szCs w:val="20"/>
          <w:shd w:fill="EAF0FF" w:color="auto" w:val="clear"/>
        </w:rPr>
        <w:t xml:space="preserve">[directie / risicocommissie]</w:t>
      </w:r>
      <w:r>
        <w:rPr>
          <w:rFonts w:ascii="Arial" w:cs="Arial" w:eastAsia="Arial" w:hAnsi="Arial"/>
          <w:color w:val="0A0E23"/>
          <w:sz w:val="20"/>
          <w:szCs w:val="20"/>
        </w:rPr>
        <w:t xml:space="preserve"> en agendeer de tekortkomingen in het leveranciersoverleg.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373"/>
        <w:gridCol w:w="6265"/>
      </w:tblGrid>
      <w:tr>
        <w:trPr>
          <w:tblHeader/>
        </w:trPr>
        <w:tc>
          <w:tcPr>
            <w:tcW w:type="dxa" w:w="3373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Onderdeel</w:t>
            </w:r>
          </w:p>
        </w:tc>
        <w:tc>
          <w:tcPr>
            <w:tcW w:type="dxa" w:w="626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Invullen</w:t>
            </w:r>
          </w:p>
        </w:tc>
      </w:tr>
      <w:tr>
        <w:trPr>
          <w:cantSplit/>
        </w:trPr>
        <w:tc>
          <w:tcPr>
            <w:tcW w:type="dxa" w:w="3373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Datum test</w:t>
            </w:r>
          </w:p>
        </w:tc>
        <w:tc>
          <w:tcPr>
            <w:tcW w:type="dxa" w:w="626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[dd-mm-jjjj]</w:t>
            </w:r>
          </w:p>
        </w:tc>
      </w:tr>
      <w:tr>
        <w:trPr>
          <w:cantSplit/>
        </w:trPr>
        <w:tc>
          <w:tcPr>
            <w:tcW w:type="dxa" w:w="3373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Uitgevoerd door</w:t>
            </w:r>
          </w:p>
        </w:tc>
        <w:tc>
          <w:tcPr>
            <w:tcW w:type="dxa" w:w="626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[naam]</w:t>
            </w:r>
          </w:p>
        </w:tc>
      </w:tr>
      <w:tr>
        <w:trPr>
          <w:cantSplit/>
        </w:trPr>
        <w:tc>
          <w:tcPr>
            <w:tcW w:type="dxa" w:w="3373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Doorlooptijd export</w:t>
            </w:r>
          </w:p>
        </w:tc>
        <w:tc>
          <w:tcPr>
            <w:tcW w:type="dxa" w:w="626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[uren/dagen]</w:t>
            </w:r>
          </w:p>
        </w:tc>
      </w:tr>
      <w:tr>
        <w:trPr>
          <w:cantSplit/>
        </w:trPr>
        <w:tc>
          <w:tcPr>
            <w:tcW w:type="dxa" w:w="3373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Bevindingen</w:t>
            </w:r>
          </w:p>
        </w:tc>
        <w:tc>
          <w:tcPr>
            <w:tcW w:type="dxa" w:w="626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  <w:tr>
        <w:trPr>
          <w:cantSplit/>
        </w:trPr>
        <w:tc>
          <w:tcPr>
            <w:tcW w:type="dxa" w:w="3373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Acties</w:t>
            </w:r>
          </w:p>
        </w:tc>
        <w:tc>
          <w:tcPr>
            <w:tcW w:type="dxa" w:w="626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</w:tbl>
    <w:p>
      <w:pPr>
        <w:spacing w:after="120"/>
      </w:pPr>
    </w:p>
    <w:p>
      <w:pPr>
        <w:pBdr>
          <w:bottom w:val="single" w:color="E4E7F2" w:sz="6"/>
        </w:pBdr>
        <w:spacing w:after="160"/>
      </w:pPr>
    </w:p>
    <w:p>
      <w:pPr>
        <w:spacing w:after="140" w:line="300"/>
      </w:pPr>
      <w:r>
        <w:rPr>
          <w:rFonts w:ascii="Arial" w:cs="Arial" w:eastAsia="Arial" w:hAnsi="Arial"/>
          <w:color w:val="5A6480"/>
          <w:sz w:val="16"/>
          <w:szCs w:val="16"/>
        </w:rPr>
        <w:t xml:space="preserve">Dit template is algemene informatie en geen juridisch advies. Laat definitieve contractteksten toetsen door een jurist. Template © VendorManager.nl, een dienst van Digital Sourcing B.V. (KvK 76477185). Vrij te gebruiken binnen uw organisatie; niet doorverkopen. Meer templates en gratis tools: www.vendormanager.nl/templates.html</w:t>
      </w:r>
    </w:p>
    <w:sectPr>
      <w:headerReference w:type="default" r:id="rId7"/>
      <w:footerReference w:type="default" r:id="rId8"/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5A6480"/>
        <w:sz w:val="16"/>
        <w:szCs w:val="16"/>
      </w:rPr>
      <w:t xml:space="preserve">Pagina </w:t>
    </w:r>
    <w:r>
      <w:rPr>
        <w:rFonts w:ascii="Arial" w:cs="Arial" w:eastAsia="Arial" w:hAnsi="Arial"/>
        <w:color w:val="5A6480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5A6480"/>
        <w:sz w:val="16"/>
        <w:szCs w:val="16"/>
      </w:rPr>
      <w:t xml:space="preserve"> van </w:t>
    </w:r>
    <w:r>
      <w:rPr>
        <w:rFonts w:ascii="Arial" w:cs="Arial" w:eastAsia="Arial" w:hAnsi="Arial"/>
        <w:color w:val="5A648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>
      <w:rPr>
        <w:rFonts w:ascii="Arial" w:cs="Arial" w:eastAsia="Arial" w:hAnsi="Arial"/>
        <w:color w:val="5A6480"/>
        <w:sz w:val="16"/>
        <w:szCs w:val="16"/>
      </w:rPr>
      <w:t xml:space="preserve">  ·  Versie [1.0] · [datum]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E4E7F2" w:sz="4"/>
      </w:pBdr>
      <w:tabs>
        <w:tab w:val="right" w:pos="9638"/>
      </w:tabs>
      <w:spacing w:after="200"/>
    </w:pPr>
    <w:r>
      <w:rPr>
        <w:rFonts w:ascii="Arial" w:cs="Arial" w:eastAsia="Arial" w:hAnsi="Arial"/>
        <w:color w:val="5A6480"/>
        <w:sz w:val="16"/>
        <w:szCs w:val="16"/>
      </w:rPr>
      <w:t xml:space="preserve">Exit-plan voor een bedrijfskritische leverancier</w:t>
    </w:r>
    <w:r>
      <w:rPr>
        <w:rFonts w:ascii="Arial" w:cs="Arial" w:eastAsia="Arial" w:hAnsi="Arial"/>
        <w:color w:val="5A6480"/>
        <w:sz w:val="16"/>
        <w:szCs w:val="16"/>
      </w:rPr>
      <w:t xml:space="preserve">	vendormanager.nl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80" w:hanging="24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A0E23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60"/>
      <w:outlineLvl w:val="0"/>
    </w:pPr>
    <w:rPr>
      <w:rFonts w:ascii="Arial" w:cs="Arial" w:eastAsia="Arial" w:hAnsi="Arial"/>
      <w:b/>
      <w:bCs/>
      <w:color w:val="0A0E23"/>
      <w:sz w:val="28"/>
      <w:szCs w:val="28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Arial" w:cs="Arial" w:eastAsia="Arial" w:hAnsi="Arial"/>
      <w:b/>
      <w:bCs/>
      <w:color w:val="2E5BFF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Exit-plan voor een bedrijfskritische leverancier</dc:title>
  <dc:creator>VendorManager.nl</dc:creator>
  <dc:description>Wat u vandaag regelt zodat u morgen kunt vertrekken: contractuele exit-afspraken, een getest data-exportpad, een terugvaloptie en een draaiboek met eigenaren en doorlooptijden.</dc:description>
  <cp:lastModifiedBy>Un-named</cp:lastModifiedBy>
  <cp:revision>1</cp:revision>
  <dcterms:created xsi:type="dcterms:W3CDTF">2026-09-08T09:03:50.841Z</dcterms:created>
  <dcterms:modified xsi:type="dcterms:W3CDTF">2026-09-08T09:03:50.841Z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