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E5BFF"/>
          <w:spacing w:val="30"/>
          <w:sz w:val="16"/>
          <w:szCs w:val="16"/>
        </w:rPr>
        <w:t xml:space="preserve">VendorManager.nl template · Service Level Agreement</w:t>
      </w:r>
    </w:p>
    <w:p>
      <w:pPr>
        <w:spacing w:after="120"/>
      </w:pPr>
      <w:r>
        <w:rPr>
          <w:rFonts w:ascii="Arial" w:cs="Arial" w:eastAsia="Arial" w:hAnsi="Arial"/>
          <w:b/>
          <w:bCs/>
          <w:color w:val="0A0E23"/>
          <w:sz w:val="40"/>
          <w:szCs w:val="40"/>
        </w:rPr>
        <w:t xml:space="preserve">SLA-template voor SaaS- en ICT-diensten</w:t>
      </w:r>
    </w:p>
    <w:p>
      <w:pPr>
        <w:spacing w:after="200" w:line="300"/>
      </w:pPr>
      <w:r>
        <w:rPr>
          <w:rFonts w:ascii="Arial" w:cs="Arial" w:eastAsia="Arial" w:hAnsi="Arial"/>
          <w:color w:val="5A6480"/>
          <w:sz w:val="22"/>
          <w:szCs w:val="22"/>
        </w:rPr>
        <w:t xml:space="preserve">Een Service Level Agreement die u kunt meten en waarop u kunt sturen: meetbare niveaus, een rapportageplicht, servicecredits die pijn doen en een escalatieladder met namen.</w:t>
      </w:r>
    </w:p>
    <w:p>
      <w:pPr>
        <w:pBdr>
          <w:bottom w:val="single" w:color="E4E7F2" w:sz="6"/>
        </w:pBdr>
        <w:spacing w:after="1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373"/>
        <w:gridCol w:w="6265"/>
      </w:tblGrid>
      <w:tr>
        <w:trPr>
          <w:tblHeader/>
        </w:trPr>
        <w:tc>
          <w:tcPr>
            <w:tcW w:type="dxa" w:w="3373"/>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Onderdeel</w:t>
            </w:r>
          </w:p>
        </w:tc>
        <w:tc>
          <w:tcPr>
            <w:tcW w:type="dxa" w:w="6265"/>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Invullen</w:t>
            </w:r>
          </w:p>
        </w:tc>
      </w:tr>
      <w:tr>
        <w:trPr>
          <w:cantSplit/>
        </w:trPr>
        <w:tc>
          <w:tcPr>
            <w:tcW w:type="dxa" w:w="3373"/>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Leverancier</w:t>
            </w:r>
          </w:p>
        </w:tc>
        <w:tc>
          <w:tcPr>
            <w:tcW w:type="dxa" w:w="626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[Naam leverancier, KvK]</w:t>
            </w:r>
          </w:p>
        </w:tc>
      </w:tr>
      <w:tr>
        <w:trPr>
          <w:cantSplit/>
        </w:trPr>
        <w:tc>
          <w:tcPr>
            <w:tcW w:type="dxa" w:w="3373"/>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Klant</w:t>
            </w:r>
          </w:p>
        </w:tc>
        <w:tc>
          <w:tcPr>
            <w:tcW w:type="dxa" w:w="626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[Naam organisatie, KvK]</w:t>
            </w:r>
          </w:p>
        </w:tc>
      </w:tr>
      <w:tr>
        <w:trPr>
          <w:cantSplit/>
        </w:trPr>
        <w:tc>
          <w:tcPr>
            <w:tcW w:type="dxa" w:w="3373"/>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Dienst</w:t>
            </w:r>
          </w:p>
        </w:tc>
        <w:tc>
          <w:tcPr>
            <w:tcW w:type="dxa" w:w="626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[Naam dienst / product / modules]</w:t>
            </w:r>
          </w:p>
        </w:tc>
      </w:tr>
      <w:tr>
        <w:trPr>
          <w:cantSplit/>
        </w:trPr>
        <w:tc>
          <w:tcPr>
            <w:tcW w:type="dxa" w:w="3373"/>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Hoofdovereenkomst</w:t>
            </w:r>
          </w:p>
        </w:tc>
        <w:tc>
          <w:tcPr>
            <w:tcW w:type="dxa" w:w="626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[Titel en datum van de overeenkomst waarvan deze SLA deel uitmaakt]</w:t>
            </w:r>
          </w:p>
        </w:tc>
      </w:tr>
      <w:tr>
        <w:trPr>
          <w:cantSplit/>
        </w:trPr>
        <w:tc>
          <w:tcPr>
            <w:tcW w:type="dxa" w:w="3373"/>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Ingangsdatum SLA</w:t>
            </w:r>
          </w:p>
        </w:tc>
        <w:tc>
          <w:tcPr>
            <w:tcW w:type="dxa" w:w="626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[dd-mm-jjjj]</w:t>
            </w:r>
          </w:p>
        </w:tc>
      </w:tr>
      <w:tr>
        <w:trPr>
          <w:cantSplit/>
        </w:trPr>
        <w:tc>
          <w:tcPr>
            <w:tcW w:type="dxa" w:w="3373"/>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Contracteigenaar klant</w:t>
            </w:r>
          </w:p>
        </w:tc>
        <w:tc>
          <w:tcPr>
            <w:tcW w:type="dxa" w:w="626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[Naam, functie, e-mail]</w:t>
            </w:r>
          </w:p>
        </w:tc>
      </w:tr>
      <w:tr>
        <w:trPr>
          <w:cantSplit/>
        </w:trPr>
        <w:tc>
          <w:tcPr>
            <w:tcW w:type="dxa" w:w="3373"/>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Servicemanager leverancier</w:t>
            </w:r>
          </w:p>
        </w:tc>
        <w:tc>
          <w:tcPr>
            <w:tcW w:type="dxa" w:w="626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[Naam, functie, e-mail]</w:t>
            </w:r>
          </w:p>
        </w:tc>
      </w:tr>
    </w:tbl>
    <w:p>
      <w:pPr>
        <w:spacing w:after="120"/>
      </w:pPr>
    </w:p>
    <w:p>
      <w:pPr>
        <w:pBdr>
          <w:left w:val="single" w:color="2E5BFF" w:sz="12" w:space="8"/>
        </w:pBdr>
        <w:spacing w:after="160" w:line="280"/>
        <w:ind w:left="200"/>
      </w:pPr>
      <w:r>
        <w:rPr>
          <w:rFonts w:ascii="Arial" w:cs="Arial" w:eastAsia="Arial" w:hAnsi="Arial"/>
          <w:i/>
          <w:iCs/>
          <w:color w:val="5A6480"/>
          <w:sz w:val="18"/>
          <w:szCs w:val="18"/>
        </w:rPr>
        <w:t xml:space="preserve">Gebruik: vervang alle </w:t>
      </w:r>
      <w:r>
        <w:rPr>
          <w:rFonts w:ascii="Arial" w:cs="Arial" w:eastAsia="Arial" w:hAnsi="Arial"/>
          <w:color w:val="1E45D8"/>
          <w:sz w:val="18"/>
          <w:szCs w:val="18"/>
          <w:shd w:fill="EAF0FF" w:color="auto" w:val="clear"/>
        </w:rPr>
        <w:t xml:space="preserve">[blauwe velden]</w:t>
      </w:r>
      <w:r>
        <w:rPr>
          <w:rFonts w:ascii="Arial" w:cs="Arial" w:eastAsia="Arial" w:hAnsi="Arial"/>
          <w:i/>
          <w:iCs/>
          <w:color w:val="5A6480"/>
          <w:sz w:val="18"/>
          <w:szCs w:val="18"/>
        </w:rPr>
        <w:t xml:space="preserve">, schrap de artikelen die niet van toepassing zijn en laat de definitieve tekst juridisch toetsen. De kleuren en drempels in dit template zijn marktgebruikelijke uitgangspunten voor bedrijfskritische SaaS; pas ze aan het bedrijfskritisch belang van de dienst aan.</w:t>
      </w:r>
    </w:p>
    <w:p>
      <w:pPr>
        <w:pStyle w:val="Heading1"/>
        <w:keepNext/>
        <w:spacing w:after="160" w:before="360"/>
      </w:pPr>
      <w:r>
        <w:rPr>
          <w:rFonts w:ascii="Arial" w:cs="Arial" w:eastAsia="Arial" w:hAnsi="Arial"/>
          <w:b/>
          <w:bCs/>
          <w:color w:val="0A0E23"/>
          <w:sz w:val="28"/>
          <w:szCs w:val="28"/>
        </w:rPr>
        <w:t xml:space="preserve">1. Doel en rangorde</w:t>
      </w:r>
    </w:p>
    <w:p>
      <w:pPr>
        <w:spacing w:after="140" w:line="300"/>
      </w:pPr>
      <w:r>
        <w:rPr>
          <w:rFonts w:ascii="Arial" w:cs="Arial" w:eastAsia="Arial" w:hAnsi="Arial"/>
          <w:color w:val="0A0E23"/>
          <w:sz w:val="20"/>
          <w:szCs w:val="20"/>
        </w:rPr>
        <w:t xml:space="preserve">Deze SLA beschrijft de serviceniveaus die </w:t>
      </w:r>
      <w:r>
        <w:rPr>
          <w:rFonts w:ascii="Arial" w:cs="Arial" w:eastAsia="Arial" w:hAnsi="Arial"/>
          <w:color w:val="1E45D8"/>
          <w:sz w:val="20"/>
          <w:szCs w:val="20"/>
          <w:shd w:fill="EAF0FF" w:color="auto" w:val="clear"/>
        </w:rPr>
        <w:t xml:space="preserve">[Leverancier]</w:t>
      </w:r>
      <w:r>
        <w:rPr>
          <w:rFonts w:ascii="Arial" w:cs="Arial" w:eastAsia="Arial" w:hAnsi="Arial"/>
          <w:color w:val="0A0E23"/>
          <w:sz w:val="20"/>
          <w:szCs w:val="20"/>
        </w:rPr>
        <w:t xml:space="preserve"> garandeert voor </w:t>
      </w:r>
      <w:r>
        <w:rPr>
          <w:rFonts w:ascii="Arial" w:cs="Arial" w:eastAsia="Arial" w:hAnsi="Arial"/>
          <w:color w:val="1E45D8"/>
          <w:sz w:val="20"/>
          <w:szCs w:val="20"/>
          <w:shd w:fill="EAF0FF" w:color="auto" w:val="clear"/>
        </w:rPr>
        <w:t xml:space="preserve">[Dienst]</w:t>
      </w:r>
      <w:r>
        <w:rPr>
          <w:rFonts w:ascii="Arial" w:cs="Arial" w:eastAsia="Arial" w:hAnsi="Arial"/>
          <w:color w:val="0A0E23"/>
          <w:sz w:val="20"/>
          <w:szCs w:val="20"/>
        </w:rPr>
        <w:t xml:space="preserve">, de wijze waarop deze worden gemeten en gerapporteerd, en de gevolgen bij het niet halen ervan. De SLA maakt deel uit van de hoofdovereenkomst.</w:t>
      </w:r>
    </w:p>
    <w:p>
      <w:pPr>
        <w:spacing w:after="140" w:line="300"/>
      </w:pPr>
      <w:r>
        <w:rPr>
          <w:rFonts w:ascii="Arial" w:cs="Arial" w:eastAsia="Arial" w:hAnsi="Arial"/>
          <w:color w:val="0A0E23"/>
          <w:sz w:val="20"/>
          <w:szCs w:val="20"/>
        </w:rPr>
        <w:t xml:space="preserve">Bij strijdigheid geldt de volgende rangorde: (1) deze SLA, (2) de hoofdovereenkomst, (3) de verwerkersovereenkomst, (4) de algemene voorwaarden van </w:t>
      </w:r>
      <w:r>
        <w:rPr>
          <w:rFonts w:ascii="Arial" w:cs="Arial" w:eastAsia="Arial" w:hAnsi="Arial"/>
          <w:color w:val="1E45D8"/>
          <w:sz w:val="20"/>
          <w:szCs w:val="20"/>
          <w:shd w:fill="EAF0FF" w:color="auto" w:val="clear"/>
        </w:rPr>
        <w:t xml:space="preserve">[Leverancier]</w:t>
      </w:r>
      <w:r>
        <w:rPr>
          <w:rFonts w:ascii="Arial" w:cs="Arial" w:eastAsia="Arial" w:hAnsi="Arial"/>
          <w:color w:val="0A0E23"/>
          <w:sz w:val="20"/>
          <w:szCs w:val="20"/>
        </w:rPr>
        <w:t xml:space="preserve">. Serviceniveaus in online documentatie of op de website van </w:t>
      </w:r>
      <w:r>
        <w:rPr>
          <w:rFonts w:ascii="Arial" w:cs="Arial" w:eastAsia="Arial" w:hAnsi="Arial"/>
          <w:color w:val="1E45D8"/>
          <w:sz w:val="20"/>
          <w:szCs w:val="20"/>
          <w:shd w:fill="EAF0FF" w:color="auto" w:val="clear"/>
        </w:rPr>
        <w:t xml:space="preserve">[Leverancier]</w:t>
      </w:r>
      <w:r>
        <w:rPr>
          <w:rFonts w:ascii="Arial" w:cs="Arial" w:eastAsia="Arial" w:hAnsi="Arial"/>
          <w:color w:val="0A0E23"/>
          <w:sz w:val="20"/>
          <w:szCs w:val="20"/>
        </w:rPr>
        <w:t xml:space="preserve"> gelden alleen voor zover zij gunstiger zijn voor Klant.</w:t>
      </w:r>
    </w:p>
    <w:p>
      <w:pPr>
        <w:pStyle w:val="Heading1"/>
        <w:keepNext/>
        <w:spacing w:after="160" w:before="360"/>
      </w:pPr>
      <w:r>
        <w:rPr>
          <w:rFonts w:ascii="Arial" w:cs="Arial" w:eastAsia="Arial" w:hAnsi="Arial"/>
          <w:b/>
          <w:bCs/>
          <w:color w:val="0A0E23"/>
          <w:sz w:val="28"/>
          <w:szCs w:val="28"/>
        </w:rPr>
        <w:t xml:space="preserve">2. Definities</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891"/>
        <w:gridCol w:w="6747"/>
      </w:tblGrid>
      <w:tr>
        <w:trPr>
          <w:tblHeader/>
        </w:trPr>
        <w:tc>
          <w:tcPr>
            <w:tcW w:type="dxa" w:w="2891"/>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Begrip</w:t>
            </w:r>
          </w:p>
        </w:tc>
        <w:tc>
          <w:tcPr>
            <w:tcW w:type="dxa" w:w="6747"/>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Betekenis</w:t>
            </w:r>
          </w:p>
        </w:tc>
      </w:tr>
      <w:tr>
        <w:trPr>
          <w:cantSplit/>
        </w:trPr>
        <w:tc>
          <w:tcPr>
            <w:tcW w:type="dxa" w:w="2891"/>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Beschikbaarheid</w:t>
            </w:r>
          </w:p>
        </w:tc>
        <w:tc>
          <w:tcPr>
            <w:tcW w:type="dxa" w:w="6747"/>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Percentage van de Servicetijd waarin de Dienst voor Klant bereikbaar is en de kernfuncties </w:t>
            </w:r>
            <w:r>
              <w:rPr>
                <w:rFonts w:ascii="Arial" w:cs="Arial" w:eastAsia="Arial" w:hAnsi="Arial"/>
                <w:color w:val="1E45D8"/>
                <w:sz w:val="18"/>
                <w:szCs w:val="18"/>
                <w:shd w:fill="EAF0FF" w:color="auto" w:val="clear"/>
              </w:rPr>
              <w:t xml:space="preserve">[inloggen, opslaan, rapporteren]</w:t>
            </w:r>
            <w:r>
              <w:rPr>
                <w:rFonts w:ascii="Arial" w:cs="Arial" w:eastAsia="Arial" w:hAnsi="Arial"/>
                <w:color w:val="0A0E23"/>
                <w:sz w:val="18"/>
                <w:szCs w:val="18"/>
              </w:rPr>
              <w:t xml:space="preserve"> werken, gemeten per kalendermaand.</w:t>
            </w:r>
          </w:p>
        </w:tc>
      </w:tr>
      <w:tr>
        <w:trPr>
          <w:cantSplit/>
        </w:trPr>
        <w:tc>
          <w:tcPr>
            <w:tcW w:type="dxa" w:w="2891"/>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Servicetijd</w:t>
            </w:r>
          </w:p>
        </w:tc>
        <w:tc>
          <w:tcPr>
            <w:tcW w:type="dxa" w:w="6747"/>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[24×7]</w:t>
            </w:r>
            <w:r>
              <w:rPr>
                <w:rFonts w:ascii="Arial" w:cs="Arial" w:eastAsia="Arial" w:hAnsi="Arial"/>
                <w:color w:val="0A0E23"/>
                <w:sz w:val="18"/>
                <w:szCs w:val="18"/>
              </w:rPr>
              <w:t xml:space="preserve"> / </w:t>
            </w:r>
            <w:r>
              <w:rPr>
                <w:rFonts w:ascii="Arial" w:cs="Arial" w:eastAsia="Arial" w:hAnsi="Arial"/>
                <w:color w:val="1E45D8"/>
                <w:sz w:val="18"/>
                <w:szCs w:val="18"/>
                <w:shd w:fill="EAF0FF" w:color="auto" w:val="clear"/>
              </w:rPr>
              <w:t xml:space="preserve">[werkdagen 07:00–19:00 CET]</w:t>
            </w:r>
            <w:r>
              <w:rPr>
                <w:rFonts w:ascii="Arial" w:cs="Arial" w:eastAsia="Arial" w:hAnsi="Arial"/>
                <w:color w:val="0A0E23"/>
                <w:sz w:val="18"/>
                <w:szCs w:val="18"/>
              </w:rPr>
              <w:t xml:space="preserve">. Gepland onderhoud binnen het Onderhoudsvenster telt niet als Downtime.</w:t>
            </w:r>
          </w:p>
        </w:tc>
      </w:tr>
      <w:tr>
        <w:trPr>
          <w:cantSplit/>
        </w:trPr>
        <w:tc>
          <w:tcPr>
            <w:tcW w:type="dxa" w:w="2891"/>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Downtime</w:t>
            </w:r>
          </w:p>
        </w:tc>
        <w:tc>
          <w:tcPr>
            <w:tcW w:type="dxa" w:w="6747"/>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Elke periode van meer dan </w:t>
            </w:r>
            <w:r>
              <w:rPr>
                <w:rFonts w:ascii="Arial" w:cs="Arial" w:eastAsia="Arial" w:hAnsi="Arial"/>
                <w:color w:val="1E45D8"/>
                <w:sz w:val="18"/>
                <w:szCs w:val="18"/>
                <w:shd w:fill="EAF0FF" w:color="auto" w:val="clear"/>
              </w:rPr>
              <w:t xml:space="preserve">[5]</w:t>
            </w:r>
            <w:r>
              <w:rPr>
                <w:rFonts w:ascii="Arial" w:cs="Arial" w:eastAsia="Arial" w:hAnsi="Arial"/>
                <w:color w:val="0A0E23"/>
                <w:sz w:val="18"/>
                <w:szCs w:val="18"/>
              </w:rPr>
              <w:t xml:space="preserve"> aaneengesloten minuten waarin de Dienst niet beschikbaar is, gemeten vanaf de eerste melding of detectie, wat eerder is.</w:t>
            </w:r>
          </w:p>
        </w:tc>
      </w:tr>
      <w:tr>
        <w:trPr>
          <w:cantSplit/>
        </w:trPr>
        <w:tc>
          <w:tcPr>
            <w:tcW w:type="dxa" w:w="2891"/>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Onderhoudsvenster</w:t>
            </w:r>
          </w:p>
        </w:tc>
        <w:tc>
          <w:tcPr>
            <w:tcW w:type="dxa" w:w="6747"/>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[Zondag 01:00–05:00 CET]</w:t>
            </w:r>
            <w:r>
              <w:rPr>
                <w:rFonts w:ascii="Arial" w:cs="Arial" w:eastAsia="Arial" w:hAnsi="Arial"/>
                <w:color w:val="0A0E23"/>
                <w:sz w:val="18"/>
                <w:szCs w:val="18"/>
              </w:rPr>
              <w:t xml:space="preserve">, maximaal </w:t>
            </w:r>
            <w:r>
              <w:rPr>
                <w:rFonts w:ascii="Arial" w:cs="Arial" w:eastAsia="Arial" w:hAnsi="Arial"/>
                <w:color w:val="1E45D8"/>
                <w:sz w:val="18"/>
                <w:szCs w:val="18"/>
                <w:shd w:fill="EAF0FF" w:color="auto" w:val="clear"/>
              </w:rPr>
              <w:t xml:space="preserve">[4]</w:t>
            </w:r>
            <w:r>
              <w:rPr>
                <w:rFonts w:ascii="Arial" w:cs="Arial" w:eastAsia="Arial" w:hAnsi="Arial"/>
                <w:color w:val="0A0E23"/>
                <w:sz w:val="18"/>
                <w:szCs w:val="18"/>
              </w:rPr>
              <w:t xml:space="preserve"> uur per maand, ten minste </w:t>
            </w:r>
            <w:r>
              <w:rPr>
                <w:rFonts w:ascii="Arial" w:cs="Arial" w:eastAsia="Arial" w:hAnsi="Arial"/>
                <w:color w:val="1E45D8"/>
                <w:sz w:val="18"/>
                <w:szCs w:val="18"/>
                <w:shd w:fill="EAF0FF" w:color="auto" w:val="clear"/>
              </w:rPr>
              <w:t xml:space="preserve">[5]</w:t>
            </w:r>
            <w:r>
              <w:rPr>
                <w:rFonts w:ascii="Arial" w:cs="Arial" w:eastAsia="Arial" w:hAnsi="Arial"/>
                <w:color w:val="0A0E23"/>
                <w:sz w:val="18"/>
                <w:szCs w:val="18"/>
              </w:rPr>
              <w:t xml:space="preserve"> werkdagen vooraf aangekondigd via </w:t>
            </w:r>
            <w:r>
              <w:rPr>
                <w:rFonts w:ascii="Arial" w:cs="Arial" w:eastAsia="Arial" w:hAnsi="Arial"/>
                <w:color w:val="1E45D8"/>
                <w:sz w:val="18"/>
                <w:szCs w:val="18"/>
                <w:shd w:fill="EAF0FF" w:color="auto" w:val="clear"/>
              </w:rPr>
              <w:t xml:space="preserve">[kanaal]</w:t>
            </w:r>
            <w:r>
              <w:rPr>
                <w:rFonts w:ascii="Arial" w:cs="Arial" w:eastAsia="Arial" w:hAnsi="Arial"/>
                <w:color w:val="0A0E23"/>
                <w:sz w:val="18"/>
                <w:szCs w:val="18"/>
              </w:rPr>
              <w:t xml:space="preserve">.</w:t>
            </w:r>
          </w:p>
        </w:tc>
      </w:tr>
      <w:tr>
        <w:trPr>
          <w:cantSplit/>
        </w:trPr>
        <w:tc>
          <w:tcPr>
            <w:tcW w:type="dxa" w:w="2891"/>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Incident</w:t>
            </w:r>
          </w:p>
        </w:tc>
        <w:tc>
          <w:tcPr>
            <w:tcW w:type="dxa" w:w="6747"/>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Elke gebeurtenis die de Dienst verstoort of de kwaliteit ervan vermindert.</w:t>
            </w:r>
          </w:p>
        </w:tc>
      </w:tr>
      <w:tr>
        <w:trPr>
          <w:cantSplit/>
        </w:trPr>
        <w:tc>
          <w:tcPr>
            <w:tcW w:type="dxa" w:w="2891"/>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Reactietijd</w:t>
            </w:r>
          </w:p>
        </w:tc>
        <w:tc>
          <w:tcPr>
            <w:tcW w:type="dxa" w:w="6747"/>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Tijd tussen melding van een Incident en de eerste inhoudelijke reactie van een gekwalificeerde medewerker (geen automatische ontvangstbevestiging).</w:t>
            </w:r>
          </w:p>
        </w:tc>
      </w:tr>
      <w:tr>
        <w:trPr>
          <w:cantSplit/>
        </w:trPr>
        <w:tc>
          <w:tcPr>
            <w:tcW w:type="dxa" w:w="2891"/>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Hersteltijd</w:t>
            </w:r>
          </w:p>
        </w:tc>
        <w:tc>
          <w:tcPr>
            <w:tcW w:type="dxa" w:w="6747"/>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Tijd tussen melding en het herstel van de Dienst of een werkbare tijdelijke oplossing (workaround).</w:t>
            </w:r>
          </w:p>
        </w:tc>
      </w:tr>
      <w:tr>
        <w:trPr>
          <w:cantSplit/>
        </w:trPr>
        <w:tc>
          <w:tcPr>
            <w:tcW w:type="dxa" w:w="2891"/>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Servicecredit</w:t>
            </w:r>
          </w:p>
        </w:tc>
        <w:tc>
          <w:tcPr>
            <w:tcW w:type="dxa" w:w="6747"/>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Korting op de maandelijkse vergoeding die Klant toekomt bij het niet halen van een serviceniveau.</w:t>
            </w:r>
          </w:p>
        </w:tc>
      </w:tr>
    </w:tbl>
    <w:p>
      <w:pPr>
        <w:spacing w:after="120"/>
      </w:pPr>
    </w:p>
    <w:p>
      <w:pPr>
        <w:pStyle w:val="Heading1"/>
        <w:keepNext/>
        <w:spacing w:after="160" w:before="360"/>
      </w:pPr>
      <w:r>
        <w:rPr>
          <w:rFonts w:ascii="Arial" w:cs="Arial" w:eastAsia="Arial" w:hAnsi="Arial"/>
          <w:b/>
          <w:bCs/>
          <w:color w:val="0A0E23"/>
          <w:sz w:val="28"/>
          <w:szCs w:val="28"/>
        </w:rPr>
        <w:t xml:space="preserve">3. Beschikbaarheid</w:t>
      </w:r>
    </w:p>
    <w:p>
      <w:pPr>
        <w:spacing w:after="140" w:line="300"/>
      </w:pPr>
      <w:r>
        <w:rPr>
          <w:rFonts w:ascii="Arial" w:cs="Arial" w:eastAsia="Arial" w:hAnsi="Arial"/>
          <w:color w:val="0A0E23"/>
          <w:sz w:val="20"/>
          <w:szCs w:val="20"/>
        </w:rPr>
        <w:t xml:space="preserve">3.1 </w:t>
      </w:r>
      <w:r>
        <w:rPr>
          <w:rFonts w:ascii="Arial" w:cs="Arial" w:eastAsia="Arial" w:hAnsi="Arial"/>
          <w:color w:val="1E45D8"/>
          <w:sz w:val="20"/>
          <w:szCs w:val="20"/>
          <w:shd w:fill="EAF0FF" w:color="auto" w:val="clear"/>
        </w:rPr>
        <w:t xml:space="preserve">[Leverancier]</w:t>
      </w:r>
      <w:r>
        <w:rPr>
          <w:rFonts w:ascii="Arial" w:cs="Arial" w:eastAsia="Arial" w:hAnsi="Arial"/>
          <w:color w:val="0A0E23"/>
          <w:sz w:val="20"/>
          <w:szCs w:val="20"/>
        </w:rPr>
        <w:t xml:space="preserve"> garandeert een Beschikbaarheid van ten minste </w:t>
      </w:r>
      <w:r>
        <w:rPr>
          <w:rFonts w:ascii="Arial" w:cs="Arial" w:eastAsia="Arial" w:hAnsi="Arial"/>
          <w:b/>
          <w:bCs/>
          <w:color w:val="0A0E23"/>
          <w:sz w:val="20"/>
          <w:szCs w:val="20"/>
        </w:rPr>
        <w:t xml:space="preserve">[99,9]%</w:t>
      </w:r>
      <w:r>
        <w:rPr>
          <w:rFonts w:ascii="Arial" w:cs="Arial" w:eastAsia="Arial" w:hAnsi="Arial"/>
          <w:color w:val="0A0E23"/>
          <w:sz w:val="20"/>
          <w:szCs w:val="20"/>
        </w:rPr>
        <w:t xml:space="preserve"> per kalendermaand. Dat komt overeen met maximaal </w:t>
      </w:r>
      <w:r>
        <w:rPr>
          <w:rFonts w:ascii="Arial" w:cs="Arial" w:eastAsia="Arial" w:hAnsi="Arial"/>
          <w:color w:val="1E45D8"/>
          <w:sz w:val="20"/>
          <w:szCs w:val="20"/>
          <w:shd w:fill="EAF0FF" w:color="auto" w:val="clear"/>
        </w:rPr>
        <w:t xml:space="preserve">[43]</w:t>
      </w:r>
      <w:r>
        <w:rPr>
          <w:rFonts w:ascii="Arial" w:cs="Arial" w:eastAsia="Arial" w:hAnsi="Arial"/>
          <w:color w:val="0A0E23"/>
          <w:sz w:val="20"/>
          <w:szCs w:val="20"/>
        </w:rPr>
        <w:t xml:space="preserve"> minuten Downtime per maand.</w:t>
      </w:r>
    </w:p>
    <w:p>
      <w:pPr>
        <w:spacing w:after="140" w:line="300"/>
      </w:pPr>
      <w:r>
        <w:rPr>
          <w:rFonts w:ascii="Arial" w:cs="Arial" w:eastAsia="Arial" w:hAnsi="Arial"/>
          <w:color w:val="0A0E23"/>
          <w:sz w:val="20"/>
          <w:szCs w:val="20"/>
        </w:rPr>
        <w:t xml:space="preserve">3.2 Beschikbaarheid wordt berekend als: (Servicetijd − Downtime) / Servicetijd × 100%. Meting vindt plaats door </w:t>
      </w:r>
      <w:r>
        <w:rPr>
          <w:rFonts w:ascii="Arial" w:cs="Arial" w:eastAsia="Arial" w:hAnsi="Arial"/>
          <w:color w:val="1E45D8"/>
          <w:sz w:val="20"/>
          <w:szCs w:val="20"/>
          <w:shd w:fill="EAF0FF" w:color="auto" w:val="clear"/>
        </w:rPr>
        <w:t xml:space="preserve">[Leverancier]</w:t>
      </w:r>
      <w:r>
        <w:rPr>
          <w:rFonts w:ascii="Arial" w:cs="Arial" w:eastAsia="Arial" w:hAnsi="Arial"/>
          <w:color w:val="0A0E23"/>
          <w:sz w:val="20"/>
          <w:szCs w:val="20"/>
        </w:rPr>
        <w:t xml:space="preserve"> met </w:t>
      </w:r>
      <w:r>
        <w:rPr>
          <w:rFonts w:ascii="Arial" w:cs="Arial" w:eastAsia="Arial" w:hAnsi="Arial"/>
          <w:color w:val="1E45D8"/>
          <w:sz w:val="20"/>
          <w:szCs w:val="20"/>
          <w:shd w:fill="EAF0FF" w:color="auto" w:val="clear"/>
        </w:rPr>
        <w:t xml:space="preserve">[monitoringtool]</w:t>
      </w:r>
      <w:r>
        <w:rPr>
          <w:rFonts w:ascii="Arial" w:cs="Arial" w:eastAsia="Arial" w:hAnsi="Arial"/>
          <w:color w:val="0A0E23"/>
          <w:sz w:val="20"/>
          <w:szCs w:val="20"/>
        </w:rPr>
        <w:t xml:space="preserve"> vanaf ten minste twee externe meetpunten in de EU; Klant mag een eigen meting overleggen, die bij afwijking van meer dan 0,1%-punt leidend is tot het tegendeel is aangetoond.</w:t>
      </w:r>
    </w:p>
    <w:p>
      <w:pPr>
        <w:spacing w:after="140" w:line="300"/>
      </w:pPr>
      <w:r>
        <w:rPr>
          <w:rFonts w:ascii="Arial" w:cs="Arial" w:eastAsia="Arial" w:hAnsi="Arial"/>
          <w:color w:val="0A0E23"/>
          <w:sz w:val="20"/>
          <w:szCs w:val="20"/>
        </w:rPr>
        <w:t xml:space="preserve">3.3 Uitgesloten van Downtime zijn uitsluitend: (a) gepland onderhoud binnen het Onderhoudsvenster, (b) storingen die aantoonbaar zijn veroorzaakt door Klant of door derden buiten de invloed van </w:t>
      </w:r>
      <w:r>
        <w:rPr>
          <w:rFonts w:ascii="Arial" w:cs="Arial" w:eastAsia="Arial" w:hAnsi="Arial"/>
          <w:color w:val="1E45D8"/>
          <w:sz w:val="20"/>
          <w:szCs w:val="20"/>
          <w:shd w:fill="EAF0FF" w:color="auto" w:val="clear"/>
        </w:rPr>
        <w:t xml:space="preserve">[Leverancier]</w:t>
      </w:r>
      <w:r>
        <w:rPr>
          <w:rFonts w:ascii="Arial" w:cs="Arial" w:eastAsia="Arial" w:hAnsi="Arial"/>
          <w:color w:val="0A0E23"/>
          <w:sz w:val="20"/>
          <w:szCs w:val="20"/>
        </w:rPr>
        <w:t xml:space="preserve"> (met uitzondering van sub-verwerkers en hostingpartijen van </w:t>
      </w:r>
      <w:r>
        <w:rPr>
          <w:rFonts w:ascii="Arial" w:cs="Arial" w:eastAsia="Arial" w:hAnsi="Arial"/>
          <w:color w:val="1E45D8"/>
          <w:sz w:val="20"/>
          <w:szCs w:val="20"/>
          <w:shd w:fill="EAF0FF" w:color="auto" w:val="clear"/>
        </w:rPr>
        <w:t xml:space="preserve">[Leverancier]</w:t>
      </w:r>
      <w:r>
        <w:rPr>
          <w:rFonts w:ascii="Arial" w:cs="Arial" w:eastAsia="Arial" w:hAnsi="Arial"/>
          <w:color w:val="0A0E23"/>
          <w:sz w:val="20"/>
          <w:szCs w:val="20"/>
        </w:rPr>
        <w:t xml:space="preserve">, die voor rekening van </w:t>
      </w:r>
      <w:r>
        <w:rPr>
          <w:rFonts w:ascii="Arial" w:cs="Arial" w:eastAsia="Arial" w:hAnsi="Arial"/>
          <w:color w:val="1E45D8"/>
          <w:sz w:val="20"/>
          <w:szCs w:val="20"/>
          <w:shd w:fill="EAF0FF" w:color="auto" w:val="clear"/>
        </w:rPr>
        <w:t xml:space="preserve">[Leverancier]</w:t>
      </w:r>
      <w:r>
        <w:rPr>
          <w:rFonts w:ascii="Arial" w:cs="Arial" w:eastAsia="Arial" w:hAnsi="Arial"/>
          <w:color w:val="0A0E23"/>
          <w:sz w:val="20"/>
          <w:szCs w:val="20"/>
        </w:rPr>
        <w:t xml:space="preserve"> komen), (c) overmacht conform de hoofdovereenkomst.</w:t>
      </w:r>
    </w:p>
    <w:p>
      <w:pPr>
        <w:pBdr>
          <w:left w:val="single" w:color="2E5BFF" w:sz="12" w:space="8"/>
        </w:pBdr>
        <w:spacing w:after="160" w:line="280"/>
        <w:ind w:left="200"/>
      </w:pPr>
      <w:r>
        <w:rPr>
          <w:rFonts w:ascii="Arial" w:cs="Arial" w:eastAsia="Arial" w:hAnsi="Arial"/>
          <w:i/>
          <w:iCs/>
          <w:color w:val="5A6480"/>
          <w:sz w:val="18"/>
          <w:szCs w:val="18"/>
        </w:rPr>
        <w:t xml:space="preserve">Let op de veelgemaakte fout: "overmacht" in de voorwaarden van de leverancier omvat vaak ook uitval bij zijn eigen cloudprovider. Regel uitdrukkelijk dat sub-verwerkers en hostingpartijen voor rekening van de leverancier komen.</w:t>
      </w:r>
    </w:p>
    <w:p>
      <w:pPr>
        <w:pStyle w:val="Heading1"/>
        <w:keepNext/>
        <w:spacing w:after="160" w:before="360"/>
      </w:pPr>
      <w:r>
        <w:rPr>
          <w:rFonts w:ascii="Arial" w:cs="Arial" w:eastAsia="Arial" w:hAnsi="Arial"/>
          <w:b/>
          <w:bCs/>
          <w:color w:val="0A0E23"/>
          <w:sz w:val="28"/>
          <w:szCs w:val="28"/>
        </w:rPr>
        <w:t xml:space="preserve">4. Incidentafhandeling</w:t>
      </w:r>
    </w:p>
    <w:p>
      <w:pPr>
        <w:spacing w:after="140" w:line="300"/>
      </w:pPr>
      <w:r>
        <w:rPr>
          <w:rFonts w:ascii="Arial" w:cs="Arial" w:eastAsia="Arial" w:hAnsi="Arial"/>
          <w:color w:val="0A0E23"/>
          <w:sz w:val="20"/>
          <w:szCs w:val="20"/>
        </w:rPr>
        <w:t xml:space="preserve">4.1 Klant meldt Incidenten via </w:t>
      </w:r>
      <w:r>
        <w:rPr>
          <w:rFonts w:ascii="Arial" w:cs="Arial" w:eastAsia="Arial" w:hAnsi="Arial"/>
          <w:color w:val="1E45D8"/>
          <w:sz w:val="20"/>
          <w:szCs w:val="20"/>
          <w:shd w:fill="EAF0FF" w:color="auto" w:val="clear"/>
        </w:rPr>
        <w:t xml:space="preserve">[servicedeskportaal / telefoonnummer / e-mail]</w:t>
      </w:r>
      <w:r>
        <w:rPr>
          <w:rFonts w:ascii="Arial" w:cs="Arial" w:eastAsia="Arial" w:hAnsi="Arial"/>
          <w:color w:val="0A0E23"/>
          <w:sz w:val="20"/>
          <w:szCs w:val="20"/>
        </w:rPr>
        <w:t xml:space="preserve">. </w:t>
      </w:r>
      <w:r>
        <w:rPr>
          <w:rFonts w:ascii="Arial" w:cs="Arial" w:eastAsia="Arial" w:hAnsi="Arial"/>
          <w:color w:val="1E45D8"/>
          <w:sz w:val="20"/>
          <w:szCs w:val="20"/>
          <w:shd w:fill="EAF0FF" w:color="auto" w:val="clear"/>
        </w:rPr>
        <w:t xml:space="preserve">[Leverancier]</w:t>
      </w:r>
      <w:r>
        <w:rPr>
          <w:rFonts w:ascii="Arial" w:cs="Arial" w:eastAsia="Arial" w:hAnsi="Arial"/>
          <w:color w:val="0A0E23"/>
          <w:sz w:val="20"/>
          <w:szCs w:val="20"/>
        </w:rPr>
        <w:t xml:space="preserve"> kent bij ontvangst een prioriteit toe volgens onderstaande tabel; bij verschil van inzicht bepaalt Klant de prioriteit, met motivering.</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1157"/>
        <w:gridCol w:w="3855"/>
        <w:gridCol w:w="1349"/>
        <w:gridCol w:w="1735"/>
        <w:gridCol w:w="1542"/>
      </w:tblGrid>
      <w:tr>
        <w:trPr>
          <w:tblHeader/>
        </w:trPr>
        <w:tc>
          <w:tcPr>
            <w:tcW w:type="dxa" w:w="1157"/>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Prioriteit</w:t>
            </w:r>
          </w:p>
        </w:tc>
        <w:tc>
          <w:tcPr>
            <w:tcW w:type="dxa" w:w="3855"/>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Omschrijving</w:t>
            </w:r>
          </w:p>
        </w:tc>
        <w:tc>
          <w:tcPr>
            <w:tcW w:type="dxa" w:w="1349"/>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Reactietijd</w:t>
            </w:r>
          </w:p>
        </w:tc>
        <w:tc>
          <w:tcPr>
            <w:tcW w:type="dxa" w:w="1735"/>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Hersteltijd / workaround</w:t>
            </w:r>
          </w:p>
        </w:tc>
        <w:tc>
          <w:tcPr>
            <w:tcW w:type="dxa" w:w="1542"/>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Update-frequentie</w:t>
            </w:r>
          </w:p>
        </w:tc>
      </w:tr>
      <w:tr>
        <w:trPr>
          <w:cantSplit/>
        </w:trPr>
        <w:tc>
          <w:tcPr>
            <w:tcW w:type="dxa" w:w="1157"/>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P1 – Kritiek</w:t>
            </w:r>
          </w:p>
        </w:tc>
        <w:tc>
          <w:tcPr>
            <w:tcW w:type="dxa" w:w="385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Dienst niet beschikbaar of kernfunctie onbruikbaar voor (vrijwel) alle gebruikers; dataverlies of beveiligingsincident.</w:t>
            </w:r>
          </w:p>
        </w:tc>
        <w:tc>
          <w:tcPr>
            <w:tcW w:type="dxa" w:w="1349"/>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[15 min]</w:t>
            </w:r>
            <w:r>
              <w:rPr>
                <w:rFonts w:ascii="Arial" w:cs="Arial" w:eastAsia="Arial" w:hAnsi="Arial"/>
                <w:color w:val="0A0E23"/>
                <w:sz w:val="18"/>
                <w:szCs w:val="18"/>
              </w:rPr>
              <w:t xml:space="preserve"> 24×7</w:t>
            </w:r>
          </w:p>
        </w:tc>
        <w:tc>
          <w:tcPr>
            <w:tcW w:type="dxa" w:w="173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[4 uur]</w:t>
            </w:r>
          </w:p>
        </w:tc>
        <w:tc>
          <w:tcPr>
            <w:tcW w:type="dxa" w:w="1542"/>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Elk </w:t>
            </w:r>
            <w:r>
              <w:rPr>
                <w:rFonts w:ascii="Arial" w:cs="Arial" w:eastAsia="Arial" w:hAnsi="Arial"/>
                <w:color w:val="1E45D8"/>
                <w:sz w:val="18"/>
                <w:szCs w:val="18"/>
                <w:shd w:fill="EAF0FF" w:color="auto" w:val="clear"/>
              </w:rPr>
              <w:t xml:space="preserve">[uur]</w:t>
            </w:r>
          </w:p>
        </w:tc>
      </w:tr>
      <w:tr>
        <w:trPr>
          <w:cantSplit/>
        </w:trPr>
        <w:tc>
          <w:tcPr>
            <w:tcW w:type="dxa" w:w="1157"/>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P2 – Hoog</w:t>
            </w:r>
          </w:p>
        </w:tc>
        <w:tc>
          <w:tcPr>
            <w:tcW w:type="dxa" w:w="3855"/>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Belangrijke functie onbruikbaar of ernstige prestatievermindering voor een groep gebruikers; geen workaround.</w:t>
            </w:r>
          </w:p>
        </w:tc>
        <w:tc>
          <w:tcPr>
            <w:tcW w:type="dxa" w:w="1349"/>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[1 uur]</w:t>
            </w:r>
            <w:r>
              <w:rPr>
                <w:rFonts w:ascii="Arial" w:cs="Arial" w:eastAsia="Arial" w:hAnsi="Arial"/>
                <w:color w:val="0A0E23"/>
                <w:sz w:val="18"/>
                <w:szCs w:val="18"/>
              </w:rPr>
              <w:t xml:space="preserve"> Servicetijd</w:t>
            </w:r>
          </w:p>
        </w:tc>
        <w:tc>
          <w:tcPr>
            <w:tcW w:type="dxa" w:w="1735"/>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[8 uur]</w:t>
            </w:r>
          </w:p>
        </w:tc>
        <w:tc>
          <w:tcPr>
            <w:tcW w:type="dxa" w:w="1542"/>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Elke </w:t>
            </w:r>
            <w:r>
              <w:rPr>
                <w:rFonts w:ascii="Arial" w:cs="Arial" w:eastAsia="Arial" w:hAnsi="Arial"/>
                <w:color w:val="1E45D8"/>
                <w:sz w:val="18"/>
                <w:szCs w:val="18"/>
                <w:shd w:fill="EAF0FF" w:color="auto" w:val="clear"/>
              </w:rPr>
              <w:t xml:space="preserve">[4 uur]</w:t>
            </w:r>
          </w:p>
        </w:tc>
      </w:tr>
      <w:tr>
        <w:trPr>
          <w:cantSplit/>
        </w:trPr>
        <w:tc>
          <w:tcPr>
            <w:tcW w:type="dxa" w:w="1157"/>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P3 – Middel</w:t>
            </w:r>
          </w:p>
        </w:tc>
        <w:tc>
          <w:tcPr>
            <w:tcW w:type="dxa" w:w="385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Functie werkt niet conform specificatie; workaround beschikbaar.</w:t>
            </w:r>
          </w:p>
        </w:tc>
        <w:tc>
          <w:tcPr>
            <w:tcW w:type="dxa" w:w="1349"/>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[4 uur]</w:t>
            </w:r>
            <w:r>
              <w:rPr>
                <w:rFonts w:ascii="Arial" w:cs="Arial" w:eastAsia="Arial" w:hAnsi="Arial"/>
                <w:color w:val="0A0E23"/>
                <w:sz w:val="18"/>
                <w:szCs w:val="18"/>
              </w:rPr>
              <w:t xml:space="preserve"> Servicetijd</w:t>
            </w:r>
          </w:p>
        </w:tc>
        <w:tc>
          <w:tcPr>
            <w:tcW w:type="dxa" w:w="173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[3 werkdagen]</w:t>
            </w:r>
          </w:p>
        </w:tc>
        <w:tc>
          <w:tcPr>
            <w:tcW w:type="dxa" w:w="1542"/>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Dagelijks</w:t>
            </w:r>
          </w:p>
        </w:tc>
      </w:tr>
      <w:tr>
        <w:trPr>
          <w:cantSplit/>
        </w:trPr>
        <w:tc>
          <w:tcPr>
            <w:tcW w:type="dxa" w:w="1157"/>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P4 – Laag</w:t>
            </w:r>
          </w:p>
        </w:tc>
        <w:tc>
          <w:tcPr>
            <w:tcW w:type="dxa" w:w="3855"/>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Cosmetisch, vraag, verzoek om informatie.</w:t>
            </w:r>
          </w:p>
        </w:tc>
        <w:tc>
          <w:tcPr>
            <w:tcW w:type="dxa" w:w="1349"/>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[1 werkdag]</w:t>
            </w:r>
          </w:p>
        </w:tc>
        <w:tc>
          <w:tcPr>
            <w:tcW w:type="dxa" w:w="1735"/>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[10 werkdagen]</w:t>
            </w:r>
            <w:r>
              <w:rPr>
                <w:rFonts w:ascii="Arial" w:cs="Arial" w:eastAsia="Arial" w:hAnsi="Arial"/>
                <w:color w:val="0A0E23"/>
                <w:sz w:val="18"/>
                <w:szCs w:val="18"/>
              </w:rPr>
              <w:t xml:space="preserve"> of volgende release</w:t>
            </w:r>
          </w:p>
        </w:tc>
        <w:tc>
          <w:tcPr>
            <w:tcW w:type="dxa" w:w="1542"/>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Bij afronding</w:t>
            </w:r>
          </w:p>
        </w:tc>
      </w:tr>
    </w:tbl>
    <w:p>
      <w:pPr>
        <w:spacing w:after="120"/>
      </w:pPr>
    </w:p>
    <w:p>
      <w:pPr>
        <w:spacing w:after="140" w:line="300"/>
      </w:pPr>
      <w:r>
        <w:rPr>
          <w:rFonts w:ascii="Arial" w:cs="Arial" w:eastAsia="Arial" w:hAnsi="Arial"/>
          <w:color w:val="0A0E23"/>
          <w:sz w:val="20"/>
          <w:szCs w:val="20"/>
        </w:rPr>
        <w:t xml:space="preserve">4.2 Bij elk P1- en P2-incident levert </w:t>
      </w:r>
      <w:r>
        <w:rPr>
          <w:rFonts w:ascii="Arial" w:cs="Arial" w:eastAsia="Arial" w:hAnsi="Arial"/>
          <w:color w:val="1E45D8"/>
          <w:sz w:val="20"/>
          <w:szCs w:val="20"/>
          <w:shd w:fill="EAF0FF" w:color="auto" w:val="clear"/>
        </w:rPr>
        <w:t xml:space="preserve">[Leverancier]</w:t>
      </w:r>
      <w:r>
        <w:rPr>
          <w:rFonts w:ascii="Arial" w:cs="Arial" w:eastAsia="Arial" w:hAnsi="Arial"/>
          <w:color w:val="0A0E23"/>
          <w:sz w:val="20"/>
          <w:szCs w:val="20"/>
        </w:rPr>
        <w:t xml:space="preserve"> binnen </w:t>
      </w:r>
      <w:r>
        <w:rPr>
          <w:rFonts w:ascii="Arial" w:cs="Arial" w:eastAsia="Arial" w:hAnsi="Arial"/>
          <w:color w:val="1E45D8"/>
          <w:sz w:val="20"/>
          <w:szCs w:val="20"/>
          <w:shd w:fill="EAF0FF" w:color="auto" w:val="clear"/>
        </w:rPr>
        <w:t xml:space="preserve">[5]</w:t>
      </w:r>
      <w:r>
        <w:rPr>
          <w:rFonts w:ascii="Arial" w:cs="Arial" w:eastAsia="Arial" w:hAnsi="Arial"/>
          <w:color w:val="0A0E23"/>
          <w:sz w:val="20"/>
          <w:szCs w:val="20"/>
        </w:rPr>
        <w:t xml:space="preserve"> werkdagen na herstel een root-cause-analyse (RCA) met oorzaak, impact, genomen maatregelen en preventieve acties met datum.</w:t>
      </w:r>
    </w:p>
    <w:p>
      <w:pPr>
        <w:spacing w:after="140" w:line="300"/>
      </w:pPr>
      <w:r>
        <w:rPr>
          <w:rFonts w:ascii="Arial" w:cs="Arial" w:eastAsia="Arial" w:hAnsi="Arial"/>
          <w:color w:val="0A0E23"/>
          <w:sz w:val="20"/>
          <w:szCs w:val="20"/>
        </w:rPr>
        <w:t xml:space="preserve">4.3 Beveiligingsincidenten en datalekken meldt </w:t>
      </w:r>
      <w:r>
        <w:rPr>
          <w:rFonts w:ascii="Arial" w:cs="Arial" w:eastAsia="Arial" w:hAnsi="Arial"/>
          <w:color w:val="1E45D8"/>
          <w:sz w:val="20"/>
          <w:szCs w:val="20"/>
          <w:shd w:fill="EAF0FF" w:color="auto" w:val="clear"/>
        </w:rPr>
        <w:t xml:space="preserve">[Leverancier]</w:t>
      </w:r>
      <w:r>
        <w:rPr>
          <w:rFonts w:ascii="Arial" w:cs="Arial" w:eastAsia="Arial" w:hAnsi="Arial"/>
          <w:color w:val="0A0E23"/>
          <w:sz w:val="20"/>
          <w:szCs w:val="20"/>
        </w:rPr>
        <w:t xml:space="preserve"> onverwijld en uiterlijk binnen </w:t>
      </w:r>
      <w:r>
        <w:rPr>
          <w:rFonts w:ascii="Arial" w:cs="Arial" w:eastAsia="Arial" w:hAnsi="Arial"/>
          <w:b/>
          <w:bCs/>
          <w:color w:val="0A0E23"/>
          <w:sz w:val="20"/>
          <w:szCs w:val="20"/>
        </w:rPr>
        <w:t xml:space="preserve">[24] uur</w:t>
      </w:r>
      <w:r>
        <w:rPr>
          <w:rFonts w:ascii="Arial" w:cs="Arial" w:eastAsia="Arial" w:hAnsi="Arial"/>
          <w:color w:val="0A0E23"/>
          <w:sz w:val="20"/>
          <w:szCs w:val="20"/>
        </w:rPr>
        <w:t xml:space="preserve"> na ontdekking aan </w:t>
      </w:r>
      <w:r>
        <w:rPr>
          <w:rFonts w:ascii="Arial" w:cs="Arial" w:eastAsia="Arial" w:hAnsi="Arial"/>
          <w:color w:val="1E45D8"/>
          <w:sz w:val="20"/>
          <w:szCs w:val="20"/>
          <w:shd w:fill="EAF0FF" w:color="auto" w:val="clear"/>
        </w:rPr>
        <w:t xml:space="preserve">[beveiligingscontact Klant]</w:t>
      </w:r>
      <w:r>
        <w:rPr>
          <w:rFonts w:ascii="Arial" w:cs="Arial" w:eastAsia="Arial" w:hAnsi="Arial"/>
          <w:color w:val="0A0E23"/>
          <w:sz w:val="20"/>
          <w:szCs w:val="20"/>
        </w:rPr>
        <w:t xml:space="preserve">, met de informatie die Klant nodig heeft voor haar meldplichten (AVG art. 33, en waar van toepassing NIS2/Cyberbeveiligingswet en DORA).</w:t>
      </w:r>
    </w:p>
    <w:p>
      <w:pPr>
        <w:pStyle w:val="Heading1"/>
        <w:keepNext/>
        <w:spacing w:after="160" w:before="360"/>
      </w:pPr>
      <w:r>
        <w:rPr>
          <w:rFonts w:ascii="Arial" w:cs="Arial" w:eastAsia="Arial" w:hAnsi="Arial"/>
          <w:b/>
          <w:bCs/>
          <w:color w:val="0A0E23"/>
          <w:sz w:val="28"/>
          <w:szCs w:val="28"/>
        </w:rPr>
        <w:t xml:space="preserve">5. Overige serviceniveaus</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891"/>
        <w:gridCol w:w="3855"/>
        <w:gridCol w:w="2891"/>
      </w:tblGrid>
      <w:tr>
        <w:trPr>
          <w:tblHeader/>
        </w:trPr>
        <w:tc>
          <w:tcPr>
            <w:tcW w:type="dxa" w:w="2891"/>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Serviceniveau</w:t>
            </w:r>
          </w:p>
        </w:tc>
        <w:tc>
          <w:tcPr>
            <w:tcW w:type="dxa" w:w="3855"/>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Norm</w:t>
            </w:r>
          </w:p>
        </w:tc>
        <w:tc>
          <w:tcPr>
            <w:tcW w:type="dxa" w:w="2891"/>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Meting</w:t>
            </w:r>
          </w:p>
        </w:tc>
      </w:tr>
      <w:tr>
        <w:trPr>
          <w:cantSplit/>
        </w:trPr>
        <w:tc>
          <w:tcPr>
            <w:tcW w:type="dxa" w:w="2891"/>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Prestaties</w:t>
            </w:r>
          </w:p>
        </w:tc>
        <w:tc>
          <w:tcPr>
            <w:tcW w:type="dxa" w:w="385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[95]</w:t>
            </w:r>
            <w:r>
              <w:rPr>
                <w:rFonts w:ascii="Arial" w:cs="Arial" w:eastAsia="Arial" w:hAnsi="Arial"/>
                <w:color w:val="0A0E23"/>
                <w:sz w:val="18"/>
                <w:szCs w:val="18"/>
              </w:rPr>
              <w:t xml:space="preserve">% van de paginaweergaven/transacties binnen </w:t>
            </w:r>
            <w:r>
              <w:rPr>
                <w:rFonts w:ascii="Arial" w:cs="Arial" w:eastAsia="Arial" w:hAnsi="Arial"/>
                <w:color w:val="1E45D8"/>
                <w:sz w:val="18"/>
                <w:szCs w:val="18"/>
                <w:shd w:fill="EAF0FF" w:color="auto" w:val="clear"/>
              </w:rPr>
              <w:t xml:space="preserve">[2]</w:t>
            </w:r>
            <w:r>
              <w:rPr>
                <w:rFonts w:ascii="Arial" w:cs="Arial" w:eastAsia="Arial" w:hAnsi="Arial"/>
                <w:color w:val="0A0E23"/>
                <w:sz w:val="18"/>
                <w:szCs w:val="18"/>
              </w:rPr>
              <w:t xml:space="preserve"> seconden</w:t>
            </w:r>
          </w:p>
        </w:tc>
        <w:tc>
          <w:tcPr>
            <w:tcW w:type="dxa" w:w="2891"/>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Maandelijkse APM-rapportage</w:t>
            </w:r>
          </w:p>
        </w:tc>
      </w:tr>
      <w:tr>
        <w:trPr>
          <w:cantSplit/>
        </w:trPr>
        <w:tc>
          <w:tcPr>
            <w:tcW w:type="dxa" w:w="2891"/>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Back-up</w:t>
            </w:r>
          </w:p>
        </w:tc>
        <w:tc>
          <w:tcPr>
            <w:tcW w:type="dxa" w:w="3855"/>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Dagelijkse back-up, bewaartermijn </w:t>
            </w:r>
            <w:r>
              <w:rPr>
                <w:rFonts w:ascii="Arial" w:cs="Arial" w:eastAsia="Arial" w:hAnsi="Arial"/>
                <w:color w:val="1E45D8"/>
                <w:sz w:val="18"/>
                <w:szCs w:val="18"/>
                <w:shd w:fill="EAF0FF" w:color="auto" w:val="clear"/>
              </w:rPr>
              <w:t xml:space="preserve">[35]</w:t>
            </w:r>
            <w:r>
              <w:rPr>
                <w:rFonts w:ascii="Arial" w:cs="Arial" w:eastAsia="Arial" w:hAnsi="Arial"/>
                <w:color w:val="0A0E23"/>
                <w:sz w:val="18"/>
                <w:szCs w:val="18"/>
              </w:rPr>
              <w:t xml:space="preserve"> dagen, opslag in </w:t>
            </w:r>
            <w:r>
              <w:rPr>
                <w:rFonts w:ascii="Arial" w:cs="Arial" w:eastAsia="Arial" w:hAnsi="Arial"/>
                <w:color w:val="1E45D8"/>
                <w:sz w:val="18"/>
                <w:szCs w:val="18"/>
                <w:shd w:fill="EAF0FF" w:color="auto" w:val="clear"/>
              </w:rPr>
              <w:t xml:space="preserve">[EU]</w:t>
            </w:r>
            <w:r>
              <w:rPr>
                <w:rFonts w:ascii="Arial" w:cs="Arial" w:eastAsia="Arial" w:hAnsi="Arial"/>
                <w:color w:val="0A0E23"/>
                <w:sz w:val="18"/>
                <w:szCs w:val="18"/>
              </w:rPr>
              <w:t xml:space="preserve">, hersteltest </w:t>
            </w:r>
            <w:r>
              <w:rPr>
                <w:rFonts w:ascii="Arial" w:cs="Arial" w:eastAsia="Arial" w:hAnsi="Arial"/>
                <w:color w:val="1E45D8"/>
                <w:sz w:val="18"/>
                <w:szCs w:val="18"/>
                <w:shd w:fill="EAF0FF" w:color="auto" w:val="clear"/>
              </w:rPr>
              <w:t xml:space="preserve">[per kwartaal]</w:t>
            </w:r>
          </w:p>
        </w:tc>
        <w:tc>
          <w:tcPr>
            <w:tcW w:type="dxa" w:w="2891"/>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Rapport hersteltest</w:t>
            </w:r>
          </w:p>
        </w:tc>
      </w:tr>
      <w:tr>
        <w:trPr>
          <w:cantSplit/>
        </w:trPr>
        <w:tc>
          <w:tcPr>
            <w:tcW w:type="dxa" w:w="2891"/>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RPO / RTO</w:t>
            </w:r>
          </w:p>
        </w:tc>
        <w:tc>
          <w:tcPr>
            <w:tcW w:type="dxa" w:w="385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Maximaal dataverlies (RPO) </w:t>
            </w:r>
            <w:r>
              <w:rPr>
                <w:rFonts w:ascii="Arial" w:cs="Arial" w:eastAsia="Arial" w:hAnsi="Arial"/>
                <w:color w:val="1E45D8"/>
                <w:sz w:val="18"/>
                <w:szCs w:val="18"/>
                <w:shd w:fill="EAF0FF" w:color="auto" w:val="clear"/>
              </w:rPr>
              <w:t xml:space="preserve">[1 uur]</w:t>
            </w:r>
            <w:r>
              <w:rPr>
                <w:rFonts w:ascii="Arial" w:cs="Arial" w:eastAsia="Arial" w:hAnsi="Arial"/>
                <w:color w:val="0A0E23"/>
                <w:sz w:val="18"/>
                <w:szCs w:val="18"/>
              </w:rPr>
              <w:t xml:space="preserve">; maximale hersteltijd bij calamiteit (RTO) </w:t>
            </w:r>
            <w:r>
              <w:rPr>
                <w:rFonts w:ascii="Arial" w:cs="Arial" w:eastAsia="Arial" w:hAnsi="Arial"/>
                <w:color w:val="1E45D8"/>
                <w:sz w:val="18"/>
                <w:szCs w:val="18"/>
                <w:shd w:fill="EAF0FF" w:color="auto" w:val="clear"/>
              </w:rPr>
              <w:t xml:space="preserve">[8 uur]</w:t>
            </w:r>
          </w:p>
        </w:tc>
        <w:tc>
          <w:tcPr>
            <w:tcW w:type="dxa" w:w="2891"/>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Jaarlijkse DR-test met verslag</w:t>
            </w:r>
          </w:p>
        </w:tc>
      </w:tr>
      <w:tr>
        <w:trPr>
          <w:cantSplit/>
        </w:trPr>
        <w:tc>
          <w:tcPr>
            <w:tcW w:type="dxa" w:w="2891"/>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Data-export</w:t>
            </w:r>
          </w:p>
        </w:tc>
        <w:tc>
          <w:tcPr>
            <w:tcW w:type="dxa" w:w="3855"/>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Volledige export in </w:t>
            </w:r>
            <w:r>
              <w:rPr>
                <w:rFonts w:ascii="Arial" w:cs="Arial" w:eastAsia="Arial" w:hAnsi="Arial"/>
                <w:color w:val="1E45D8"/>
                <w:sz w:val="18"/>
                <w:szCs w:val="18"/>
                <w:shd w:fill="EAF0FF" w:color="auto" w:val="clear"/>
              </w:rPr>
              <w:t xml:space="preserve">[CSV/JSON + documentatie]</w:t>
            </w:r>
            <w:r>
              <w:rPr>
                <w:rFonts w:ascii="Arial" w:cs="Arial" w:eastAsia="Arial" w:hAnsi="Arial"/>
                <w:color w:val="0A0E23"/>
                <w:sz w:val="18"/>
                <w:szCs w:val="18"/>
              </w:rPr>
              <w:t xml:space="preserve"> binnen </w:t>
            </w:r>
            <w:r>
              <w:rPr>
                <w:rFonts w:ascii="Arial" w:cs="Arial" w:eastAsia="Arial" w:hAnsi="Arial"/>
                <w:color w:val="1E45D8"/>
                <w:sz w:val="18"/>
                <w:szCs w:val="18"/>
                <w:shd w:fill="EAF0FF" w:color="auto" w:val="clear"/>
              </w:rPr>
              <w:t xml:space="preserve">[5]</w:t>
            </w:r>
            <w:r>
              <w:rPr>
                <w:rFonts w:ascii="Arial" w:cs="Arial" w:eastAsia="Arial" w:hAnsi="Arial"/>
                <w:color w:val="0A0E23"/>
                <w:sz w:val="18"/>
                <w:szCs w:val="18"/>
              </w:rPr>
              <w:t xml:space="preserve"> werkdagen na verzoek, zonder kosten, ook tijdens en na beëindiging</w:t>
            </w:r>
          </w:p>
        </w:tc>
        <w:tc>
          <w:tcPr>
            <w:tcW w:type="dxa" w:w="2891"/>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Steekproef Klant</w:t>
            </w:r>
          </w:p>
        </w:tc>
      </w:tr>
      <w:tr>
        <w:trPr>
          <w:cantSplit/>
        </w:trPr>
        <w:tc>
          <w:tcPr>
            <w:tcW w:type="dxa" w:w="2891"/>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Wijzigingen</w:t>
            </w:r>
          </w:p>
        </w:tc>
        <w:tc>
          <w:tcPr>
            <w:tcW w:type="dxa" w:w="385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Functionele wijzigingen die de werking voor Klant beïnvloeden: </w:t>
            </w:r>
            <w:r>
              <w:rPr>
                <w:rFonts w:ascii="Arial" w:cs="Arial" w:eastAsia="Arial" w:hAnsi="Arial"/>
                <w:color w:val="1E45D8"/>
                <w:sz w:val="18"/>
                <w:szCs w:val="18"/>
                <w:shd w:fill="EAF0FF" w:color="auto" w:val="clear"/>
              </w:rPr>
              <w:t xml:space="preserve">[30]</w:t>
            </w:r>
            <w:r>
              <w:rPr>
                <w:rFonts w:ascii="Arial" w:cs="Arial" w:eastAsia="Arial" w:hAnsi="Arial"/>
                <w:color w:val="0A0E23"/>
                <w:sz w:val="18"/>
                <w:szCs w:val="18"/>
              </w:rPr>
              <w:t xml:space="preserve"> dagen vooraf aangekondigd met releasenotes; verwijdering van functionaliteit: </w:t>
            </w:r>
            <w:r>
              <w:rPr>
                <w:rFonts w:ascii="Arial" w:cs="Arial" w:eastAsia="Arial" w:hAnsi="Arial"/>
                <w:color w:val="1E45D8"/>
                <w:sz w:val="18"/>
                <w:szCs w:val="18"/>
                <w:shd w:fill="EAF0FF" w:color="auto" w:val="clear"/>
              </w:rPr>
              <w:t xml:space="preserve">[6]</w:t>
            </w:r>
            <w:r>
              <w:rPr>
                <w:rFonts w:ascii="Arial" w:cs="Arial" w:eastAsia="Arial" w:hAnsi="Arial"/>
                <w:color w:val="0A0E23"/>
                <w:sz w:val="18"/>
                <w:szCs w:val="18"/>
              </w:rPr>
              <w:t xml:space="preserve"> maanden vooraf</w:t>
            </w:r>
          </w:p>
        </w:tc>
        <w:tc>
          <w:tcPr>
            <w:tcW w:type="dxa" w:w="2891"/>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Releasekalender</w:t>
            </w:r>
          </w:p>
        </w:tc>
      </w:tr>
      <w:tr>
        <w:trPr>
          <w:cantSplit/>
        </w:trPr>
        <w:tc>
          <w:tcPr>
            <w:tcW w:type="dxa" w:w="2891"/>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Security</w:t>
            </w:r>
          </w:p>
        </w:tc>
        <w:tc>
          <w:tcPr>
            <w:tcW w:type="dxa" w:w="3855"/>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Geldig ISO 27001-certificaat of SOC 2 type II-rapport, jaarlijks aangeleverd; kritieke kwetsbaarheden gepatcht binnen </w:t>
            </w:r>
            <w:r>
              <w:rPr>
                <w:rFonts w:ascii="Arial" w:cs="Arial" w:eastAsia="Arial" w:hAnsi="Arial"/>
                <w:color w:val="1E45D8"/>
                <w:sz w:val="18"/>
                <w:szCs w:val="18"/>
                <w:shd w:fill="EAF0FF" w:color="auto" w:val="clear"/>
              </w:rPr>
              <w:t xml:space="preserve">[72 uur]</w:t>
            </w:r>
          </w:p>
        </w:tc>
        <w:tc>
          <w:tcPr>
            <w:tcW w:type="dxa" w:w="2891"/>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Certificaat / rapport</w:t>
            </w:r>
          </w:p>
        </w:tc>
      </w:tr>
    </w:tbl>
    <w:p>
      <w:pPr>
        <w:spacing w:after="120"/>
      </w:pPr>
    </w:p>
    <w:p>
      <w:pPr>
        <w:pStyle w:val="Heading1"/>
        <w:keepNext/>
        <w:spacing w:after="160" w:before="360"/>
      </w:pPr>
      <w:r>
        <w:rPr>
          <w:rFonts w:ascii="Arial" w:cs="Arial" w:eastAsia="Arial" w:hAnsi="Arial"/>
          <w:b/>
          <w:bCs/>
          <w:color w:val="0A0E23"/>
          <w:sz w:val="28"/>
          <w:szCs w:val="28"/>
        </w:rPr>
        <w:t xml:space="preserve">6. Rapportage en overleg</w:t>
      </w:r>
    </w:p>
    <w:p>
      <w:pPr>
        <w:spacing w:after="140" w:line="300"/>
      </w:pPr>
      <w:r>
        <w:rPr>
          <w:rFonts w:ascii="Arial" w:cs="Arial" w:eastAsia="Arial" w:hAnsi="Arial"/>
          <w:color w:val="0A0E23"/>
          <w:sz w:val="20"/>
          <w:szCs w:val="20"/>
        </w:rPr>
        <w:t xml:space="preserve">6.1 </w:t>
      </w:r>
      <w:r>
        <w:rPr>
          <w:rFonts w:ascii="Arial" w:cs="Arial" w:eastAsia="Arial" w:hAnsi="Arial"/>
          <w:color w:val="1E45D8"/>
          <w:sz w:val="20"/>
          <w:szCs w:val="20"/>
          <w:shd w:fill="EAF0FF" w:color="auto" w:val="clear"/>
        </w:rPr>
        <w:t xml:space="preserve">[Leverancier]</w:t>
      </w:r>
      <w:r>
        <w:rPr>
          <w:rFonts w:ascii="Arial" w:cs="Arial" w:eastAsia="Arial" w:hAnsi="Arial"/>
          <w:color w:val="0A0E23"/>
          <w:sz w:val="20"/>
          <w:szCs w:val="20"/>
        </w:rPr>
        <w:t xml:space="preserve"> levert uiterlijk op de </w:t>
      </w:r>
      <w:r>
        <w:rPr>
          <w:rFonts w:ascii="Arial" w:cs="Arial" w:eastAsia="Arial" w:hAnsi="Arial"/>
          <w:color w:val="1E45D8"/>
          <w:sz w:val="20"/>
          <w:szCs w:val="20"/>
          <w:shd w:fill="EAF0FF" w:color="auto" w:val="clear"/>
        </w:rPr>
        <w:t xml:space="preserve">[5e]</w:t>
      </w:r>
      <w:r>
        <w:rPr>
          <w:rFonts w:ascii="Arial" w:cs="Arial" w:eastAsia="Arial" w:hAnsi="Arial"/>
          <w:color w:val="0A0E23"/>
          <w:sz w:val="20"/>
          <w:szCs w:val="20"/>
        </w:rPr>
        <w:t xml:space="preserve"> werkdag van elke maand een servicerapport met: gerealiseerde Beschikbaarheid, aantal Incidenten per prioriteit met reactie- en hersteltijden, openstaande acties uit RCA's, uitgevoerd en gepland onderhoud, en de berekende Servicecredits.</w:t>
      </w:r>
    </w:p>
    <w:p>
      <w:pPr>
        <w:spacing w:after="140" w:line="300"/>
      </w:pPr>
      <w:r>
        <w:rPr>
          <w:rFonts w:ascii="Arial" w:cs="Arial" w:eastAsia="Arial" w:hAnsi="Arial"/>
          <w:color w:val="0A0E23"/>
          <w:sz w:val="20"/>
          <w:szCs w:val="20"/>
        </w:rPr>
        <w:t xml:space="preserve">6.2 Partijen houden </w:t>
      </w:r>
      <w:r>
        <w:rPr>
          <w:rFonts w:ascii="Arial" w:cs="Arial" w:eastAsia="Arial" w:hAnsi="Arial"/>
          <w:color w:val="1E45D8"/>
          <w:sz w:val="20"/>
          <w:szCs w:val="20"/>
          <w:shd w:fill="EAF0FF" w:color="auto" w:val="clear"/>
        </w:rPr>
        <w:t xml:space="preserve">[maandelijks / per kwartaal]</w:t>
      </w:r>
      <w:r>
        <w:rPr>
          <w:rFonts w:ascii="Arial" w:cs="Arial" w:eastAsia="Arial" w:hAnsi="Arial"/>
          <w:color w:val="0A0E23"/>
          <w:sz w:val="20"/>
          <w:szCs w:val="20"/>
        </w:rPr>
        <w:t xml:space="preserve"> een serviceoverleg. </w:t>
      </w:r>
      <w:r>
        <w:rPr>
          <w:rFonts w:ascii="Arial" w:cs="Arial" w:eastAsia="Arial" w:hAnsi="Arial"/>
          <w:color w:val="1E45D8"/>
          <w:sz w:val="20"/>
          <w:szCs w:val="20"/>
          <w:shd w:fill="EAF0FF" w:color="auto" w:val="clear"/>
        </w:rPr>
        <w:t xml:space="preserve">[Leverancier]</w:t>
      </w:r>
      <w:r>
        <w:rPr>
          <w:rFonts w:ascii="Arial" w:cs="Arial" w:eastAsia="Arial" w:hAnsi="Arial"/>
          <w:color w:val="0A0E23"/>
          <w:sz w:val="20"/>
          <w:szCs w:val="20"/>
        </w:rPr>
        <w:t xml:space="preserve"> agendeert, notuleert en bewaakt de actielijst. Jaarlijks vindt een strategisch overleg plaats over roadmap, prijsontwikkeling en contractverlenging.</w:t>
      </w:r>
    </w:p>
    <w:p>
      <w:pPr>
        <w:spacing w:after="140" w:line="300"/>
      </w:pPr>
      <w:r>
        <w:rPr>
          <w:rFonts w:ascii="Arial" w:cs="Arial" w:eastAsia="Arial" w:hAnsi="Arial"/>
          <w:color w:val="0A0E23"/>
          <w:sz w:val="20"/>
          <w:szCs w:val="20"/>
        </w:rPr>
        <w:t xml:space="preserve">6.3 Klant heeft het recht om </w:t>
      </w:r>
      <w:r>
        <w:rPr>
          <w:rFonts w:ascii="Arial" w:cs="Arial" w:eastAsia="Arial" w:hAnsi="Arial"/>
          <w:color w:val="1E45D8"/>
          <w:sz w:val="20"/>
          <w:szCs w:val="20"/>
          <w:shd w:fill="EAF0FF" w:color="auto" w:val="clear"/>
        </w:rPr>
        <w:t xml:space="preserve">[eenmaal per jaar]</w:t>
      </w:r>
      <w:r>
        <w:rPr>
          <w:rFonts w:ascii="Arial" w:cs="Arial" w:eastAsia="Arial" w:hAnsi="Arial"/>
          <w:color w:val="0A0E23"/>
          <w:sz w:val="20"/>
          <w:szCs w:val="20"/>
        </w:rPr>
        <w:t xml:space="preserve"> de meetgegevens en de naleving van deze SLA te (laten) controleren; </w:t>
      </w:r>
      <w:r>
        <w:rPr>
          <w:rFonts w:ascii="Arial" w:cs="Arial" w:eastAsia="Arial" w:hAnsi="Arial"/>
          <w:color w:val="1E45D8"/>
          <w:sz w:val="20"/>
          <w:szCs w:val="20"/>
          <w:shd w:fill="EAF0FF" w:color="auto" w:val="clear"/>
        </w:rPr>
        <w:t xml:space="preserve">[Leverancier]</w:t>
      </w:r>
      <w:r>
        <w:rPr>
          <w:rFonts w:ascii="Arial" w:cs="Arial" w:eastAsia="Arial" w:hAnsi="Arial"/>
          <w:color w:val="0A0E23"/>
          <w:sz w:val="20"/>
          <w:szCs w:val="20"/>
        </w:rPr>
        <w:t xml:space="preserve"> verleent daaraan binnen redelijke grenzen medewerking.</w:t>
      </w:r>
    </w:p>
    <w:p>
      <w:pPr>
        <w:pStyle w:val="Heading1"/>
        <w:keepNext/>
        <w:spacing w:after="160" w:before="360"/>
      </w:pPr>
      <w:r>
        <w:rPr>
          <w:rFonts w:ascii="Arial" w:cs="Arial" w:eastAsia="Arial" w:hAnsi="Arial"/>
          <w:b/>
          <w:bCs/>
          <w:color w:val="0A0E23"/>
          <w:sz w:val="28"/>
          <w:szCs w:val="28"/>
        </w:rPr>
        <w:t xml:space="preserve">7. Servicecredits</w:t>
      </w:r>
    </w:p>
    <w:p>
      <w:pPr>
        <w:spacing w:after="140" w:line="300"/>
      </w:pPr>
      <w:r>
        <w:rPr>
          <w:rFonts w:ascii="Arial" w:cs="Arial" w:eastAsia="Arial" w:hAnsi="Arial"/>
          <w:color w:val="0A0E23"/>
          <w:sz w:val="20"/>
          <w:szCs w:val="20"/>
        </w:rPr>
        <w:t xml:space="preserve">7.1 Bij het niet halen van de Beschikbaarheid in een kalendermaand is Klant de volgende Servicecredit verschuldigd, als percentage van de maandvergoeding voor de Dienst:</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19"/>
        <w:gridCol w:w="4819"/>
      </w:tblGrid>
      <w:tr>
        <w:trPr>
          <w:tblHeader/>
        </w:trPr>
        <w:tc>
          <w:tcPr>
            <w:tcW w:type="dxa" w:w="4819"/>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Gerealiseerde Beschikbaarheid</w:t>
            </w:r>
          </w:p>
        </w:tc>
        <w:tc>
          <w:tcPr>
            <w:tcW w:type="dxa" w:w="4819"/>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Servicecredit</w:t>
            </w:r>
          </w:p>
        </w:tc>
      </w:tr>
      <w:tr>
        <w:trPr>
          <w:cantSplit/>
        </w:trPr>
        <w:tc>
          <w:tcPr>
            <w:tcW w:type="dxa" w:w="4819"/>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&lt; 99,9% en ≥ 99,5%</w:t>
            </w:r>
          </w:p>
        </w:tc>
        <w:tc>
          <w:tcPr>
            <w:tcW w:type="dxa" w:w="4819"/>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[10]</w:t>
            </w:r>
            <w:r>
              <w:rPr>
                <w:rFonts w:ascii="Arial" w:cs="Arial" w:eastAsia="Arial" w:hAnsi="Arial"/>
                <w:color w:val="0A0E23"/>
                <w:sz w:val="18"/>
                <w:szCs w:val="18"/>
              </w:rPr>
              <w:t xml:space="preserve">%</w:t>
            </w:r>
          </w:p>
        </w:tc>
      </w:tr>
      <w:tr>
        <w:trPr>
          <w:cantSplit/>
        </w:trPr>
        <w:tc>
          <w:tcPr>
            <w:tcW w:type="dxa" w:w="4819"/>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&lt; 99,5% en ≥ 99,0%</w:t>
            </w:r>
          </w:p>
        </w:tc>
        <w:tc>
          <w:tcPr>
            <w:tcW w:type="dxa" w:w="4819"/>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[25]</w:t>
            </w:r>
            <w:r>
              <w:rPr>
                <w:rFonts w:ascii="Arial" w:cs="Arial" w:eastAsia="Arial" w:hAnsi="Arial"/>
                <w:color w:val="0A0E23"/>
                <w:sz w:val="18"/>
                <w:szCs w:val="18"/>
              </w:rPr>
              <w:t xml:space="preserve">%</w:t>
            </w:r>
          </w:p>
        </w:tc>
      </w:tr>
      <w:tr>
        <w:trPr>
          <w:cantSplit/>
        </w:trPr>
        <w:tc>
          <w:tcPr>
            <w:tcW w:type="dxa" w:w="4819"/>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&lt; 99,0% en ≥ 98,0%</w:t>
            </w:r>
          </w:p>
        </w:tc>
        <w:tc>
          <w:tcPr>
            <w:tcW w:type="dxa" w:w="4819"/>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[50]</w:t>
            </w:r>
            <w:r>
              <w:rPr>
                <w:rFonts w:ascii="Arial" w:cs="Arial" w:eastAsia="Arial" w:hAnsi="Arial"/>
                <w:color w:val="0A0E23"/>
                <w:sz w:val="18"/>
                <w:szCs w:val="18"/>
              </w:rPr>
              <w:t xml:space="preserve">%</w:t>
            </w:r>
          </w:p>
        </w:tc>
      </w:tr>
      <w:tr>
        <w:trPr>
          <w:cantSplit/>
        </w:trPr>
        <w:tc>
          <w:tcPr>
            <w:tcW w:type="dxa" w:w="4819"/>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&lt; 98,0%</w:t>
            </w:r>
          </w:p>
        </w:tc>
        <w:tc>
          <w:tcPr>
            <w:tcW w:type="dxa" w:w="4819"/>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[100]</w:t>
            </w:r>
            <w:r>
              <w:rPr>
                <w:rFonts w:ascii="Arial" w:cs="Arial" w:eastAsia="Arial" w:hAnsi="Arial"/>
                <w:color w:val="0A0E23"/>
                <w:sz w:val="18"/>
                <w:szCs w:val="18"/>
              </w:rPr>
              <w:t xml:space="preserve">%</w:t>
            </w:r>
          </w:p>
        </w:tc>
      </w:tr>
    </w:tbl>
    <w:p>
      <w:pPr>
        <w:spacing w:after="120"/>
      </w:pPr>
    </w:p>
    <w:p>
      <w:pPr>
        <w:spacing w:after="140" w:line="300"/>
      </w:pPr>
      <w:r>
        <w:rPr>
          <w:rFonts w:ascii="Arial" w:cs="Arial" w:eastAsia="Arial" w:hAnsi="Arial"/>
          <w:color w:val="0A0E23"/>
          <w:sz w:val="20"/>
          <w:szCs w:val="20"/>
        </w:rPr>
        <w:t xml:space="preserve">7.2 Bij overschrijding van de Hersteltijd van een P1- of P2-incident geldt een Servicecredit van </w:t>
      </w:r>
      <w:r>
        <w:rPr>
          <w:rFonts w:ascii="Arial" w:cs="Arial" w:eastAsia="Arial" w:hAnsi="Arial"/>
          <w:color w:val="1E45D8"/>
          <w:sz w:val="20"/>
          <w:szCs w:val="20"/>
          <w:shd w:fill="EAF0FF" w:color="auto" w:val="clear"/>
        </w:rPr>
        <w:t xml:space="preserve">[5]</w:t>
      </w:r>
      <w:r>
        <w:rPr>
          <w:rFonts w:ascii="Arial" w:cs="Arial" w:eastAsia="Arial" w:hAnsi="Arial"/>
          <w:color w:val="0A0E23"/>
          <w:sz w:val="20"/>
          <w:szCs w:val="20"/>
        </w:rPr>
        <w:t xml:space="preserve">% per begonnen </w:t>
      </w:r>
      <w:r>
        <w:rPr>
          <w:rFonts w:ascii="Arial" w:cs="Arial" w:eastAsia="Arial" w:hAnsi="Arial"/>
          <w:color w:val="1E45D8"/>
          <w:sz w:val="20"/>
          <w:szCs w:val="20"/>
          <w:shd w:fill="EAF0FF" w:color="auto" w:val="clear"/>
        </w:rPr>
        <w:t xml:space="preserve">[4 uur]</w:t>
      </w:r>
      <w:r>
        <w:rPr>
          <w:rFonts w:ascii="Arial" w:cs="Arial" w:eastAsia="Arial" w:hAnsi="Arial"/>
          <w:color w:val="0A0E23"/>
          <w:sz w:val="20"/>
          <w:szCs w:val="20"/>
        </w:rPr>
        <w:t xml:space="preserve"> overschrijding, tot een maximum van </w:t>
      </w:r>
      <w:r>
        <w:rPr>
          <w:rFonts w:ascii="Arial" w:cs="Arial" w:eastAsia="Arial" w:hAnsi="Arial"/>
          <w:color w:val="1E45D8"/>
          <w:sz w:val="20"/>
          <w:szCs w:val="20"/>
          <w:shd w:fill="EAF0FF" w:color="auto" w:val="clear"/>
        </w:rPr>
        <w:t xml:space="preserve">[50]</w:t>
      </w:r>
      <w:r>
        <w:rPr>
          <w:rFonts w:ascii="Arial" w:cs="Arial" w:eastAsia="Arial" w:hAnsi="Arial"/>
          <w:color w:val="0A0E23"/>
          <w:sz w:val="20"/>
          <w:szCs w:val="20"/>
        </w:rPr>
        <w:t xml:space="preserve">% van de maandvergoeding.</w:t>
      </w:r>
    </w:p>
    <w:p>
      <w:pPr>
        <w:spacing w:after="140" w:line="300"/>
      </w:pPr>
      <w:r>
        <w:rPr>
          <w:rFonts w:ascii="Arial" w:cs="Arial" w:eastAsia="Arial" w:hAnsi="Arial"/>
          <w:color w:val="0A0E23"/>
          <w:sz w:val="20"/>
          <w:szCs w:val="20"/>
        </w:rPr>
        <w:t xml:space="preserve">7.3 Servicecredits worden automatisch verrekend op de eerstvolgende factuur; Klant hoeft ze niet te claimen. Het totaal per maand bedraagt maximaal </w:t>
      </w:r>
      <w:r>
        <w:rPr>
          <w:rFonts w:ascii="Arial" w:cs="Arial" w:eastAsia="Arial" w:hAnsi="Arial"/>
          <w:color w:val="1E45D8"/>
          <w:sz w:val="20"/>
          <w:szCs w:val="20"/>
          <w:shd w:fill="EAF0FF" w:color="auto" w:val="clear"/>
        </w:rPr>
        <w:t xml:space="preserve">[100]</w:t>
      </w:r>
      <w:r>
        <w:rPr>
          <w:rFonts w:ascii="Arial" w:cs="Arial" w:eastAsia="Arial" w:hAnsi="Arial"/>
          <w:color w:val="0A0E23"/>
          <w:sz w:val="20"/>
          <w:szCs w:val="20"/>
        </w:rPr>
        <w:t xml:space="preserve">% van de maandvergoeding.</w:t>
      </w:r>
    </w:p>
    <w:p>
      <w:pPr>
        <w:spacing w:after="140" w:line="300"/>
      </w:pPr>
      <w:r>
        <w:rPr>
          <w:rFonts w:ascii="Arial" w:cs="Arial" w:eastAsia="Arial" w:hAnsi="Arial"/>
          <w:color w:val="0A0E23"/>
          <w:sz w:val="20"/>
          <w:szCs w:val="20"/>
        </w:rPr>
        <w:t xml:space="preserve">7.4 Servicecredits laten het recht van Klant op schadevergoeding, nakoming en de ontbindingsrechten uit artikel 8 onverlet.</w:t>
      </w:r>
    </w:p>
    <w:p>
      <w:pPr>
        <w:pBdr>
          <w:left w:val="single" w:color="2E5BFF" w:sz="12" w:space="8"/>
        </w:pBdr>
        <w:spacing w:after="160" w:line="280"/>
        <w:ind w:left="200"/>
      </w:pPr>
      <w:r>
        <w:rPr>
          <w:rFonts w:ascii="Arial" w:cs="Arial" w:eastAsia="Arial" w:hAnsi="Arial"/>
          <w:i/>
          <w:iCs/>
          <w:color w:val="5A6480"/>
          <w:sz w:val="18"/>
          <w:szCs w:val="18"/>
        </w:rPr>
        <w:t xml:space="preserve">Servicecredits die alleen op verzoek worden uitgekeerd, worden in de praktijk zelden geclaimd. Automatische verrekening plus het behoud van het recht op schadevergoeding zijn de twee bepalingen die het verschil maken.</w:t>
      </w:r>
    </w:p>
    <w:p>
      <w:pPr>
        <w:pStyle w:val="Heading1"/>
        <w:keepNext/>
        <w:spacing w:after="160" w:before="360"/>
      </w:pPr>
      <w:r>
        <w:rPr>
          <w:rFonts w:ascii="Arial" w:cs="Arial" w:eastAsia="Arial" w:hAnsi="Arial"/>
          <w:b/>
          <w:bCs/>
          <w:color w:val="0A0E23"/>
          <w:sz w:val="28"/>
          <w:szCs w:val="28"/>
        </w:rPr>
        <w:t xml:space="preserve">8. Escalatie en structureel tekortschieten</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1157"/>
        <w:gridCol w:w="2699"/>
        <w:gridCol w:w="2699"/>
        <w:gridCol w:w="3084"/>
      </w:tblGrid>
      <w:tr>
        <w:trPr>
          <w:tblHeader/>
        </w:trPr>
        <w:tc>
          <w:tcPr>
            <w:tcW w:type="dxa" w:w="1157"/>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Niveau</w:t>
            </w:r>
          </w:p>
        </w:tc>
        <w:tc>
          <w:tcPr>
            <w:tcW w:type="dxa" w:w="2699"/>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Klant</w:t>
            </w:r>
          </w:p>
        </w:tc>
        <w:tc>
          <w:tcPr>
            <w:tcW w:type="dxa" w:w="2699"/>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Leverancier</w:t>
            </w:r>
          </w:p>
        </w:tc>
        <w:tc>
          <w:tcPr>
            <w:tcW w:type="dxa" w:w="3084"/>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Wanneer</w:t>
            </w:r>
          </w:p>
        </w:tc>
      </w:tr>
      <w:tr>
        <w:trPr>
          <w:cantSplit/>
        </w:trPr>
        <w:tc>
          <w:tcPr>
            <w:tcW w:type="dxa" w:w="1157"/>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1</w:t>
            </w:r>
          </w:p>
        </w:tc>
        <w:tc>
          <w:tcPr>
            <w:tcW w:type="dxa" w:w="2699"/>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[Contracteigenaar]</w:t>
            </w:r>
          </w:p>
        </w:tc>
        <w:tc>
          <w:tcPr>
            <w:tcW w:type="dxa" w:w="2699"/>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[Servicemanager]</w:t>
            </w:r>
          </w:p>
        </w:tc>
        <w:tc>
          <w:tcPr>
            <w:tcW w:type="dxa" w:w="3084"/>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Bij elk P1-incident en bij elke gemiste norm</w:t>
            </w:r>
          </w:p>
        </w:tc>
      </w:tr>
      <w:tr>
        <w:trPr>
          <w:cantSplit/>
        </w:trPr>
        <w:tc>
          <w:tcPr>
            <w:tcW w:type="dxa" w:w="1157"/>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2</w:t>
            </w:r>
          </w:p>
        </w:tc>
        <w:tc>
          <w:tcPr>
            <w:tcW w:type="dxa" w:w="2699"/>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[IT-manager / CIO]</w:t>
            </w:r>
          </w:p>
        </w:tc>
        <w:tc>
          <w:tcPr>
            <w:tcW w:type="dxa" w:w="2699"/>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[Hoofd Operations]</w:t>
            </w:r>
          </w:p>
        </w:tc>
        <w:tc>
          <w:tcPr>
            <w:tcW w:type="dxa" w:w="3084"/>
            <w:tcBorders>
              <w:top w:val="single" w:color="E4E7F2" w:sz="4"/>
              <w:left w:val="single" w:color="E4E7F2" w:sz="4"/>
              <w:bottom w:val="single" w:color="E4E7F2" w:sz="4"/>
              <w:right w:val="single" w:color="E4E7F2" w:sz="4"/>
            </w:tcBorders>
            <w:shd w:fill="F7F8FC" w:color="auto" w:val="clear"/>
            <w:tcMar>
              <w:top w:type="dxa" w:w="80"/>
              <w:left w:type="dxa" w:w="110"/>
              <w:bottom w:type="dxa" w:w="80"/>
              <w:right w:type="dxa" w:w="110"/>
            </w:tcMar>
          </w:tcPr>
          <w:p>
            <w:pPr>
              <w:spacing w:after="40" w:line="260"/>
            </w:pPr>
            <w:r>
              <w:rPr>
                <w:rFonts w:ascii="Arial" w:cs="Arial" w:eastAsia="Arial" w:hAnsi="Arial"/>
                <w:color w:val="0A0E23"/>
                <w:sz w:val="18"/>
                <w:szCs w:val="18"/>
              </w:rPr>
              <w:t xml:space="preserve">Norm twee maanden achtereen gemist, of RCA-acties niet nagekomen</w:t>
            </w:r>
          </w:p>
        </w:tc>
      </w:tr>
      <w:tr>
        <w:trPr>
          <w:cantSplit/>
        </w:trPr>
        <w:tc>
          <w:tcPr>
            <w:tcW w:type="dxa" w:w="1157"/>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3</w:t>
            </w:r>
          </w:p>
        </w:tc>
        <w:tc>
          <w:tcPr>
            <w:tcW w:type="dxa" w:w="2699"/>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[Directie]</w:t>
            </w:r>
          </w:p>
        </w:tc>
        <w:tc>
          <w:tcPr>
            <w:tcW w:type="dxa" w:w="2699"/>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[Directie]</w:t>
            </w:r>
          </w:p>
        </w:tc>
        <w:tc>
          <w:tcPr>
            <w:tcW w:type="dxa" w:w="3084"/>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Norm drie keer in zes maanden gemist</w:t>
            </w:r>
          </w:p>
        </w:tc>
      </w:tr>
    </w:tbl>
    <w:p>
      <w:pPr>
        <w:spacing w:after="120"/>
      </w:pPr>
    </w:p>
    <w:p>
      <w:pPr>
        <w:spacing w:after="140" w:line="300"/>
      </w:pPr>
      <w:r>
        <w:rPr>
          <w:rFonts w:ascii="Arial" w:cs="Arial" w:eastAsia="Arial" w:hAnsi="Arial"/>
          <w:color w:val="0A0E23"/>
          <w:sz w:val="20"/>
          <w:szCs w:val="20"/>
        </w:rPr>
        <w:t xml:space="preserve">8.1 Indien </w:t>
      </w:r>
      <w:r>
        <w:rPr>
          <w:rFonts w:ascii="Arial" w:cs="Arial" w:eastAsia="Arial" w:hAnsi="Arial"/>
          <w:color w:val="1E45D8"/>
          <w:sz w:val="20"/>
          <w:szCs w:val="20"/>
          <w:shd w:fill="EAF0FF" w:color="auto" w:val="clear"/>
        </w:rPr>
        <w:t xml:space="preserve">[Leverancier]</w:t>
      </w:r>
      <w:r>
        <w:rPr>
          <w:rFonts w:ascii="Arial" w:cs="Arial" w:eastAsia="Arial" w:hAnsi="Arial"/>
          <w:color w:val="0A0E23"/>
          <w:sz w:val="20"/>
          <w:szCs w:val="20"/>
        </w:rPr>
        <w:t xml:space="preserve"> de Beschikbaarheid in </w:t>
      </w:r>
      <w:r>
        <w:rPr>
          <w:rFonts w:ascii="Arial" w:cs="Arial" w:eastAsia="Arial" w:hAnsi="Arial"/>
          <w:color w:val="1E45D8"/>
          <w:sz w:val="20"/>
          <w:szCs w:val="20"/>
          <w:shd w:fill="EAF0FF" w:color="auto" w:val="clear"/>
        </w:rPr>
        <w:t xml:space="preserve">[drie]</w:t>
      </w:r>
      <w:r>
        <w:rPr>
          <w:rFonts w:ascii="Arial" w:cs="Arial" w:eastAsia="Arial" w:hAnsi="Arial"/>
          <w:color w:val="0A0E23"/>
          <w:sz w:val="20"/>
          <w:szCs w:val="20"/>
        </w:rPr>
        <w:t xml:space="preserve"> maanden binnen een periode van </w:t>
      </w:r>
      <w:r>
        <w:rPr>
          <w:rFonts w:ascii="Arial" w:cs="Arial" w:eastAsia="Arial" w:hAnsi="Arial"/>
          <w:color w:val="1E45D8"/>
          <w:sz w:val="20"/>
          <w:szCs w:val="20"/>
          <w:shd w:fill="EAF0FF" w:color="auto" w:val="clear"/>
        </w:rPr>
        <w:t xml:space="preserve">[twaalf]</w:t>
      </w:r>
      <w:r>
        <w:rPr>
          <w:rFonts w:ascii="Arial" w:cs="Arial" w:eastAsia="Arial" w:hAnsi="Arial"/>
          <w:color w:val="0A0E23"/>
          <w:sz w:val="20"/>
          <w:szCs w:val="20"/>
        </w:rPr>
        <w:t xml:space="preserve"> maanden niet haalt, of een P1-incident langer dan </w:t>
      </w:r>
      <w:r>
        <w:rPr>
          <w:rFonts w:ascii="Arial" w:cs="Arial" w:eastAsia="Arial" w:hAnsi="Arial"/>
          <w:color w:val="1E45D8"/>
          <w:sz w:val="20"/>
          <w:szCs w:val="20"/>
          <w:shd w:fill="EAF0FF" w:color="auto" w:val="clear"/>
        </w:rPr>
        <w:t xml:space="preserve">[24]</w:t>
      </w:r>
      <w:r>
        <w:rPr>
          <w:rFonts w:ascii="Arial" w:cs="Arial" w:eastAsia="Arial" w:hAnsi="Arial"/>
          <w:color w:val="0A0E23"/>
          <w:sz w:val="20"/>
          <w:szCs w:val="20"/>
        </w:rPr>
        <w:t xml:space="preserve"> uur duurt, is Klant gerechtigd de hoofdovereenkomst geheel of gedeeltelijk op te zeggen met een opzegtermijn van </w:t>
      </w:r>
      <w:r>
        <w:rPr>
          <w:rFonts w:ascii="Arial" w:cs="Arial" w:eastAsia="Arial" w:hAnsi="Arial"/>
          <w:color w:val="1E45D8"/>
          <w:sz w:val="20"/>
          <w:szCs w:val="20"/>
          <w:shd w:fill="EAF0FF" w:color="auto" w:val="clear"/>
        </w:rPr>
        <w:t xml:space="preserve">[30]</w:t>
      </w:r>
      <w:r>
        <w:rPr>
          <w:rFonts w:ascii="Arial" w:cs="Arial" w:eastAsia="Arial" w:hAnsi="Arial"/>
          <w:color w:val="0A0E23"/>
          <w:sz w:val="20"/>
          <w:szCs w:val="20"/>
        </w:rPr>
        <w:t xml:space="preserve"> dagen, zonder dat een vergoeding voor de resterende looptijd verschuldigd is. </w:t>
      </w:r>
      <w:r>
        <w:rPr>
          <w:rFonts w:ascii="Arial" w:cs="Arial" w:eastAsia="Arial" w:hAnsi="Arial"/>
          <w:color w:val="1E45D8"/>
          <w:sz w:val="20"/>
          <w:szCs w:val="20"/>
          <w:shd w:fill="EAF0FF" w:color="auto" w:val="clear"/>
        </w:rPr>
        <w:t xml:space="preserve">[Leverancier]</w:t>
      </w:r>
      <w:r>
        <w:rPr>
          <w:rFonts w:ascii="Arial" w:cs="Arial" w:eastAsia="Arial" w:hAnsi="Arial"/>
          <w:color w:val="0A0E23"/>
          <w:sz w:val="20"/>
          <w:szCs w:val="20"/>
        </w:rPr>
        <w:t xml:space="preserve"> verleent in dat geval de exit-ondersteuning uit </w:t>
      </w:r>
      <w:r>
        <w:rPr>
          <w:rFonts w:ascii="Arial" w:cs="Arial" w:eastAsia="Arial" w:hAnsi="Arial"/>
          <w:color w:val="1E45D8"/>
          <w:sz w:val="20"/>
          <w:szCs w:val="20"/>
          <w:shd w:fill="EAF0FF" w:color="auto" w:val="clear"/>
        </w:rPr>
        <w:t xml:space="preserve">[het Exit-plan / artikel X van de hoofdovereenkomst]</w:t>
      </w:r>
      <w:r>
        <w:rPr>
          <w:rFonts w:ascii="Arial" w:cs="Arial" w:eastAsia="Arial" w:hAnsi="Arial"/>
          <w:color w:val="0A0E23"/>
          <w:sz w:val="20"/>
          <w:szCs w:val="20"/>
        </w:rPr>
        <w:t xml:space="preserve">.</w:t>
      </w:r>
    </w:p>
    <w:p>
      <w:pPr>
        <w:pStyle w:val="Heading1"/>
        <w:keepNext/>
        <w:spacing w:after="160" w:before="360"/>
      </w:pPr>
      <w:r>
        <w:rPr>
          <w:rFonts w:ascii="Arial" w:cs="Arial" w:eastAsia="Arial" w:hAnsi="Arial"/>
          <w:b/>
          <w:bCs/>
          <w:color w:val="0A0E23"/>
          <w:sz w:val="28"/>
          <w:szCs w:val="28"/>
        </w:rPr>
        <w:t xml:space="preserve">9. Wijziging van deze SLA</w:t>
      </w:r>
    </w:p>
    <w:p>
      <w:pPr>
        <w:spacing w:after="140" w:line="300"/>
      </w:pPr>
      <w:r>
        <w:rPr>
          <w:rFonts w:ascii="Arial" w:cs="Arial" w:eastAsia="Arial" w:hAnsi="Arial"/>
          <w:color w:val="0A0E23"/>
          <w:sz w:val="20"/>
          <w:szCs w:val="20"/>
        </w:rPr>
        <w:t xml:space="preserve">Deze SLA kan uitsluitend schriftelijk en met instemming van beide partijen worden gewijzigd. Eenzijdige aanpassing van serviceniveaus door </w:t>
      </w:r>
      <w:r>
        <w:rPr>
          <w:rFonts w:ascii="Arial" w:cs="Arial" w:eastAsia="Arial" w:hAnsi="Arial"/>
          <w:color w:val="1E45D8"/>
          <w:sz w:val="20"/>
          <w:szCs w:val="20"/>
          <w:shd w:fill="EAF0FF" w:color="auto" w:val="clear"/>
        </w:rPr>
        <w:t xml:space="preserve">[Leverancier]</w:t>
      </w:r>
      <w:r>
        <w:rPr>
          <w:rFonts w:ascii="Arial" w:cs="Arial" w:eastAsia="Arial" w:hAnsi="Arial"/>
          <w:color w:val="0A0E23"/>
          <w:sz w:val="20"/>
          <w:szCs w:val="20"/>
        </w:rPr>
        <w:t xml:space="preserve">, ook via gewijzigde online documentatie, is niet toegestaan. Partijen evalueren deze SLA </w:t>
      </w:r>
      <w:r>
        <w:rPr>
          <w:rFonts w:ascii="Arial" w:cs="Arial" w:eastAsia="Arial" w:hAnsi="Arial"/>
          <w:color w:val="1E45D8"/>
          <w:sz w:val="20"/>
          <w:szCs w:val="20"/>
          <w:shd w:fill="EAF0FF" w:color="auto" w:val="clear"/>
        </w:rPr>
        <w:t xml:space="preserve">[jaarlijks]</w:t>
      </w:r>
      <w:r>
        <w:rPr>
          <w:rFonts w:ascii="Arial" w:cs="Arial" w:eastAsia="Arial" w:hAnsi="Arial"/>
          <w:color w:val="0A0E23"/>
          <w:sz w:val="20"/>
          <w:szCs w:val="20"/>
        </w:rPr>
        <w:t xml:space="preserve"> tijdens het strategisch overleg.</w:t>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373"/>
        <w:gridCol w:w="6265"/>
      </w:tblGrid>
      <w:tr>
        <w:trPr>
          <w:tblHeader/>
        </w:trPr>
        <w:tc>
          <w:tcPr>
            <w:tcW w:type="dxa" w:w="3373"/>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Onderdeel</w:t>
            </w:r>
          </w:p>
        </w:tc>
        <w:tc>
          <w:tcPr>
            <w:tcW w:type="dxa" w:w="6265"/>
            <w:tcBorders>
              <w:top w:val="single" w:color="E4E7F2" w:sz="4"/>
              <w:left w:val="single" w:color="E4E7F2" w:sz="4"/>
              <w:bottom w:val="single" w:color="E4E7F2" w:sz="4"/>
              <w:right w:val="single" w:color="E4E7F2" w:sz="4"/>
            </w:tcBorders>
            <w:shd w:fill="0A0E23" w:color="auto" w:val="clear"/>
            <w:tcMar>
              <w:top w:type="dxa" w:w="80"/>
              <w:left w:type="dxa" w:w="110"/>
              <w:bottom w:type="dxa" w:w="80"/>
              <w:right w:type="dxa" w:w="110"/>
            </w:tcMar>
          </w:tcPr>
          <w:p>
            <w:pPr>
              <w:spacing w:after="40" w:line="260"/>
            </w:pPr>
            <w:r>
              <w:rPr>
                <w:rFonts w:ascii="Arial" w:cs="Arial" w:eastAsia="Arial" w:hAnsi="Arial"/>
                <w:b/>
                <w:bCs/>
                <w:color w:val="FFFFFF"/>
                <w:sz w:val="18"/>
                <w:szCs w:val="18"/>
              </w:rPr>
              <w:t xml:space="preserve">Invullen</w:t>
            </w:r>
          </w:p>
        </w:tc>
      </w:tr>
      <w:tr>
        <w:trPr>
          <w:cantSplit/>
        </w:trPr>
        <w:tc>
          <w:tcPr>
            <w:tcW w:type="dxa" w:w="3373"/>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Ondertekening Klant</w:t>
            </w:r>
          </w:p>
        </w:tc>
        <w:tc>
          <w:tcPr>
            <w:tcW w:type="dxa" w:w="626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[Naam, functie, datum, handtekening]</w:t>
            </w:r>
          </w:p>
        </w:tc>
      </w:tr>
      <w:tr>
        <w:trPr>
          <w:cantSplit/>
        </w:trPr>
        <w:tc>
          <w:tcPr>
            <w:tcW w:type="dxa" w:w="3373"/>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0A0E23"/>
                <w:sz w:val="18"/>
                <w:szCs w:val="18"/>
              </w:rPr>
              <w:t xml:space="preserve">Ondertekening Leverancier</w:t>
            </w:r>
          </w:p>
        </w:tc>
        <w:tc>
          <w:tcPr>
            <w:tcW w:type="dxa" w:w="6265"/>
            <w:tcBorders>
              <w:top w:val="single" w:color="E4E7F2" w:sz="4"/>
              <w:left w:val="single" w:color="E4E7F2" w:sz="4"/>
              <w:bottom w:val="single" w:color="E4E7F2" w:sz="4"/>
              <w:right w:val="single" w:color="E4E7F2" w:sz="4"/>
            </w:tcBorders>
            <w:tcMar>
              <w:top w:type="dxa" w:w="80"/>
              <w:left w:type="dxa" w:w="110"/>
              <w:bottom w:type="dxa" w:w="80"/>
              <w:right w:type="dxa" w:w="110"/>
            </w:tcMar>
          </w:tcPr>
          <w:p>
            <w:pPr>
              <w:spacing w:after="40" w:line="260"/>
            </w:pPr>
            <w:r>
              <w:rPr>
                <w:rFonts w:ascii="Arial" w:cs="Arial" w:eastAsia="Arial" w:hAnsi="Arial"/>
                <w:color w:val="1E45D8"/>
                <w:sz w:val="18"/>
                <w:szCs w:val="18"/>
                <w:shd w:fill="EAF0FF" w:color="auto" w:val="clear"/>
              </w:rPr>
              <w:t xml:space="preserve">[Naam, functie, datum, handtekening]</w:t>
            </w:r>
          </w:p>
        </w:tc>
      </w:tr>
    </w:tbl>
    <w:p>
      <w:pPr>
        <w:spacing w:after="120"/>
      </w:pPr>
    </w:p>
    <w:p>
      <w:pPr>
        <w:pBdr>
          <w:bottom w:val="single" w:color="E4E7F2" w:sz="6"/>
        </w:pBdr>
        <w:spacing w:after="160"/>
      </w:pPr>
    </w:p>
    <w:p>
      <w:pPr>
        <w:spacing w:after="140" w:line="300"/>
      </w:pPr>
      <w:r>
        <w:rPr>
          <w:rFonts w:ascii="Arial" w:cs="Arial" w:eastAsia="Arial" w:hAnsi="Arial"/>
          <w:color w:val="5A6480"/>
          <w:sz w:val="16"/>
          <w:szCs w:val="16"/>
        </w:rPr>
        <w:t xml:space="preserve">Dit template is algemene informatie en geen juridisch advies. Laat definitieve contractteksten toetsen door een jurist. Template © VendorManager.nl, een dienst van Digital Sourcing B.V. (KvK 76477185). Vrij te gebruiken binnen uw organisatie; niet doorverkopen. Meer templates en gratis tools: www.vendormanager.nl/templates.html</w:t>
      </w:r>
    </w:p>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5A6480"/>
        <w:sz w:val="16"/>
        <w:szCs w:val="16"/>
      </w:rPr>
      <w:t xml:space="preserve">Pagina </w:t>
    </w:r>
    <w:r>
      <w:rPr>
        <w:rFonts w:ascii="Arial" w:cs="Arial" w:eastAsia="Arial" w:hAnsi="Arial"/>
        <w:color w:val="5A6480"/>
        <w:sz w:val="16"/>
        <w:szCs w:val="16"/>
      </w:rPr>
      <w:fldChar w:fldCharType="begin"/>
      <w:instrText xml:space="preserve">PAGE</w:instrText>
      <w:fldChar w:fldCharType="separate"/>
      <w:fldChar w:fldCharType="end"/>
    </w:r>
    <w:r>
      <w:rPr>
        <w:rFonts w:ascii="Arial" w:cs="Arial" w:eastAsia="Arial" w:hAnsi="Arial"/>
        <w:color w:val="5A6480"/>
        <w:sz w:val="16"/>
        <w:szCs w:val="16"/>
      </w:rPr>
      <w:t xml:space="preserve"> van </w:t>
    </w:r>
    <w:r>
      <w:rPr>
        <w:rFonts w:ascii="Arial" w:cs="Arial" w:eastAsia="Arial" w:hAnsi="Arial"/>
        <w:color w:val="5A6480"/>
        <w:sz w:val="16"/>
        <w:szCs w:val="16"/>
      </w:rPr>
      <w:fldChar w:fldCharType="begin"/>
      <w:instrText xml:space="preserve">NUMPAGES</w:instrText>
      <w:fldChar w:fldCharType="separate"/>
      <w:fldChar w:fldCharType="end"/>
    </w:r>
    <w:r>
      <w:rPr>
        <w:rFonts w:ascii="Arial" w:cs="Arial" w:eastAsia="Arial" w:hAnsi="Arial"/>
        <w:color w:val="5A6480"/>
        <w:sz w:val="16"/>
        <w:szCs w:val="16"/>
      </w:rPr>
      <w:t xml:space="preserve">  ·  Versie [1.0] · [datum]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E4E7F2" w:sz="4"/>
      </w:pBdr>
      <w:tabs>
        <w:tab w:val="right" w:pos="9638"/>
      </w:tabs>
      <w:spacing w:after="200"/>
    </w:pPr>
    <w:r>
      <w:rPr>
        <w:rFonts w:ascii="Arial" w:cs="Arial" w:eastAsia="Arial" w:hAnsi="Arial"/>
        <w:color w:val="5A6480"/>
        <w:sz w:val="16"/>
        <w:szCs w:val="16"/>
      </w:rPr>
      <w:t xml:space="preserve">SLA-template voor SaaS- en ICT-diensten</w:t>
    </w:r>
    <w:r>
      <w:rPr>
        <w:rFonts w:ascii="Arial" w:cs="Arial" w:eastAsia="Arial" w:hAnsi="Arial"/>
        <w:color w:val="5A6480"/>
        <w:sz w:val="16"/>
        <w:szCs w:val="16"/>
      </w:rPr>
      <w:t xml:space="preserve">	vendormanager.nl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lvl>
  </w:abstractNum>
  <w:abstractNum w:abstractNumId="3" w15:restartNumberingAfterBreak="0">
    <w:multiLevelType w:val="hybridMultilevel"/>
    <w:lvl w:ilvl="0" w15:tentative="1">
      <w:start w:val="1"/>
      <w:numFmt w:val="decimal"/>
      <w:lvlText w:val="%1."/>
      <w:lvlJc w:val="left"/>
      <w:pPr>
        <w:ind w:left="48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A0E23"/>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Arial" w:cs="Arial" w:eastAsia="Arial" w:hAnsi="Arial"/>
      <w:b/>
      <w:bCs/>
      <w:color w:val="0A0E23"/>
      <w:sz w:val="28"/>
      <w:szCs w:val="28"/>
    </w:rPr>
  </w:style>
  <w:style w:type="paragraph" w:styleId="Heading2">
    <w:name w:val="Heading 2"/>
    <w:basedOn w:val="Normal"/>
    <w:next w:val="Normal"/>
    <w:qFormat/>
    <w:pPr>
      <w:spacing w:after="100" w:before="240"/>
      <w:outlineLvl w:val="1"/>
    </w:pPr>
    <w:rPr>
      <w:rFonts w:ascii="Arial" w:cs="Arial" w:eastAsia="Arial" w:hAnsi="Arial"/>
      <w:b/>
      <w:bCs/>
      <w:color w:val="2E5BFF"/>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SLA-template voor SaaS- en ICT-diensten</dc:title>
  <dc:creator>VendorManager.nl</dc:creator>
  <dc:description>Een Service Level Agreement die u kunt meten en waarop u kunt sturen: meetbare niveaus, een rapportageplicht, servicecredits die pijn doen en een escalatieladder met namen.</dc:description>
  <cp:lastModifiedBy>Un-named</cp:lastModifiedBy>
  <cp:revision>1</cp:revision>
  <dcterms:created xsi:type="dcterms:W3CDTF">2026-09-08T09:03:50.626Z</dcterms:created>
  <dcterms:modified xsi:type="dcterms:W3CDTF">2026-09-08T09:03:50.636Z</dcterms:modified>
</cp:coreProperties>
</file>

<file path=docProps/custom.xml><?xml version="1.0" encoding="utf-8"?>
<Properties xmlns="http://schemas.openxmlformats.org/officeDocument/2006/custom-properties" xmlns:vt="http://schemas.openxmlformats.org/officeDocument/2006/docPropsVTypes"/>
</file>